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leftFromText="142" w:rightFromText="142" w:vertAnchor="page" w:horzAnchor="margin" w:tblpXSpec="right" w:tblpY="85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8C7E44" w:rsidRPr="00A72C8B" w14:paraId="397F44AC" w14:textId="77777777" w:rsidTr="008C7E44">
        <w:trPr>
          <w:cantSplit/>
        </w:trPr>
        <w:tc>
          <w:tcPr>
            <w:tcW w:w="3969" w:type="dxa"/>
            <w:vAlign w:val="center"/>
          </w:tcPr>
          <w:p w14:paraId="40BCF138" w14:textId="2613D53F" w:rsidR="008C7E44" w:rsidRPr="00A72C8B" w:rsidRDefault="00805013" w:rsidP="00F230B2">
            <w:pPr>
              <w:spacing w:before="0" w:line="240" w:lineRule="auto"/>
              <w:ind w:left="708"/>
              <w:jc w:val="right"/>
              <w:rPr>
                <w:b/>
                <w:sz w:val="26"/>
                <w:szCs w:val="26"/>
                <w:lang w:val="de-AT"/>
              </w:rPr>
            </w:pPr>
            <w:r w:rsidRPr="00A72C8B">
              <w:rPr>
                <w:b/>
                <w:sz w:val="26"/>
                <w:szCs w:val="26"/>
                <w:lang w:val="de-AT"/>
              </w:rPr>
              <w:t>Presseinformation</w:t>
            </w:r>
          </w:p>
          <w:p w14:paraId="2B7EC604" w14:textId="7EC39FB9" w:rsidR="008C7E44" w:rsidRPr="00A72C8B" w:rsidRDefault="00A72C8B" w:rsidP="00F230B2">
            <w:pPr>
              <w:spacing w:before="0" w:line="240" w:lineRule="auto"/>
              <w:ind w:left="708"/>
              <w:jc w:val="right"/>
              <w:rPr>
                <w:sz w:val="22"/>
                <w:szCs w:val="22"/>
                <w:lang w:val="de-AT"/>
              </w:rPr>
            </w:pPr>
            <w:r w:rsidRPr="00A72C8B">
              <w:rPr>
                <w:sz w:val="22"/>
                <w:szCs w:val="22"/>
                <w:lang w:val="de-AT"/>
              </w:rPr>
              <w:t>2</w:t>
            </w:r>
            <w:r w:rsidR="00D10E68" w:rsidRPr="00A72C8B">
              <w:rPr>
                <w:sz w:val="22"/>
                <w:szCs w:val="22"/>
                <w:lang w:val="de-AT"/>
              </w:rPr>
              <w:t>3</w:t>
            </w:r>
            <w:r w:rsidR="009C2921" w:rsidRPr="00A72C8B">
              <w:rPr>
                <w:sz w:val="22"/>
                <w:szCs w:val="22"/>
                <w:lang w:val="de-AT"/>
              </w:rPr>
              <w:t>.</w:t>
            </w:r>
            <w:r w:rsidR="00432D4B" w:rsidRPr="00A72C8B">
              <w:rPr>
                <w:sz w:val="22"/>
                <w:szCs w:val="22"/>
                <w:lang w:val="de-AT"/>
              </w:rPr>
              <w:t>0</w:t>
            </w:r>
            <w:r w:rsidR="00B43CE0" w:rsidRPr="00A72C8B">
              <w:rPr>
                <w:sz w:val="22"/>
                <w:szCs w:val="22"/>
                <w:lang w:val="de-AT"/>
              </w:rPr>
              <w:t>7</w:t>
            </w:r>
            <w:r w:rsidR="007237C7" w:rsidRPr="00A72C8B">
              <w:rPr>
                <w:sz w:val="22"/>
                <w:szCs w:val="22"/>
                <w:lang w:val="de-AT"/>
              </w:rPr>
              <w:t>.202</w:t>
            </w:r>
            <w:r w:rsidR="00432D4B" w:rsidRPr="00A72C8B">
              <w:rPr>
                <w:sz w:val="22"/>
                <w:szCs w:val="22"/>
                <w:lang w:val="de-AT"/>
              </w:rPr>
              <w:t>6</w:t>
            </w:r>
          </w:p>
        </w:tc>
      </w:tr>
    </w:tbl>
    <w:p w14:paraId="664ACE6A" w14:textId="7A57778C" w:rsidR="00A72C8B" w:rsidRPr="00A72C8B" w:rsidRDefault="00A72C8B" w:rsidP="00A72C8B">
      <w:pPr>
        <w:pStyle w:val="2Headline"/>
        <w:spacing w:after="100" w:afterAutospacing="1" w:line="280" w:lineRule="atLeast"/>
        <w:ind w:right="28"/>
        <w:rPr>
          <w:rFonts w:asciiTheme="minorHAnsi" w:eastAsiaTheme="minorHAnsi" w:hAnsiTheme="minorHAnsi" w:cstheme="minorBidi"/>
          <w:sz w:val="44"/>
          <w:szCs w:val="44"/>
          <w:lang w:val="de-AT" w:eastAsia="en-US"/>
        </w:rPr>
      </w:pPr>
      <w:bookmarkStart w:id="1" w:name="OLE_LINK3"/>
      <w:bookmarkStart w:id="2" w:name="OLE_LINK4"/>
      <w:bookmarkStart w:id="3" w:name="_Hlk103057531"/>
      <w:r w:rsidRPr="00A72C8B">
        <w:rPr>
          <w:rFonts w:asciiTheme="minorHAnsi" w:eastAsiaTheme="minorHAnsi" w:hAnsiTheme="minorHAnsi" w:cstheme="minorBidi"/>
          <w:sz w:val="24"/>
          <w:szCs w:val="24"/>
          <w:lang w:val="de-AT" w:eastAsia="en-US"/>
        </w:rPr>
        <w:t xml:space="preserve">Globale Absatzzahlen im ersten Halbjahr 2026 </w:t>
      </w:r>
      <w:bookmarkEnd w:id="1"/>
      <w:bookmarkEnd w:id="2"/>
    </w:p>
    <w:p w14:paraId="526A4E4D" w14:textId="5EDDB436" w:rsidR="00A72C8B" w:rsidRPr="00A72C8B" w:rsidRDefault="00A72C8B" w:rsidP="00A72C8B">
      <w:pPr>
        <w:pStyle w:val="2Headline"/>
        <w:spacing w:after="100" w:afterAutospacing="1" w:line="280" w:lineRule="atLeast"/>
        <w:ind w:right="28"/>
        <w:rPr>
          <w:rFonts w:asciiTheme="minorHAnsi" w:eastAsiaTheme="minorHAnsi" w:hAnsiTheme="minorHAnsi" w:cstheme="minorBidi"/>
          <w:sz w:val="24"/>
          <w:szCs w:val="24"/>
          <w:lang w:val="de-AT" w:eastAsia="en-US"/>
        </w:rPr>
      </w:pPr>
      <w:r w:rsidRPr="00A72C8B">
        <w:rPr>
          <w:rFonts w:asciiTheme="minorHAnsi" w:eastAsiaTheme="minorHAnsi" w:hAnsiTheme="minorHAnsi" w:cstheme="minorBidi"/>
          <w:sz w:val="44"/>
          <w:szCs w:val="44"/>
          <w:lang w:val="de-AT" w:eastAsia="en-US"/>
        </w:rPr>
        <w:t>Renault Group mit stabilem Absatzergebnis – Fokus auf Elektrifizierung und Verkaufsqualität</w:t>
      </w:r>
    </w:p>
    <w:p w14:paraId="021C9E25" w14:textId="77777777" w:rsidR="00A72C8B" w:rsidRPr="00A72C8B" w:rsidRDefault="00A72C8B" w:rsidP="00A72C8B">
      <w:pPr>
        <w:rPr>
          <w:lang w:val="de-AT"/>
        </w:rPr>
      </w:pPr>
    </w:p>
    <w:p w14:paraId="42620372" w14:textId="77777777" w:rsidR="00A72C8B" w:rsidRPr="00A72C8B" w:rsidRDefault="00A72C8B" w:rsidP="00A72C8B">
      <w:pPr>
        <w:numPr>
          <w:ilvl w:val="0"/>
          <w:numId w:val="3"/>
        </w:numPr>
        <w:spacing w:before="0" w:line="280" w:lineRule="atLeast"/>
        <w:jc w:val="both"/>
        <w:rPr>
          <w:rFonts w:ascii="Renault Group" w:eastAsia="Calibri" w:hAnsi="Renault Group" w:cs="Arial"/>
          <w:sz w:val="22"/>
          <w:szCs w:val="22"/>
          <w:lang w:val="de-AT"/>
        </w:rPr>
      </w:pPr>
      <w:r w:rsidRPr="00A72C8B">
        <w:rPr>
          <w:rFonts w:ascii="Renault Group" w:eastAsia="Calibri" w:hAnsi="Renault Group" w:cs="Arial"/>
          <w:b/>
          <w:bCs/>
          <w:sz w:val="22"/>
          <w:szCs w:val="22"/>
          <w:lang w:val="de-AT"/>
        </w:rPr>
        <w:t>Die Renault Group hat im ersten Halbjahr 2026 weltweit 1.165.133 Fahrzeuge verkauft</w:t>
      </w:r>
      <w:r w:rsidRPr="00A72C8B">
        <w:rPr>
          <w:rFonts w:ascii="Renault Group" w:eastAsia="Calibri" w:hAnsi="Renault Group" w:cs="Arial"/>
          <w:sz w:val="22"/>
          <w:szCs w:val="22"/>
          <w:lang w:val="de-AT"/>
        </w:rPr>
        <w:t xml:space="preserve"> </w:t>
      </w:r>
      <w:r w:rsidRPr="00A72C8B">
        <w:rPr>
          <w:rFonts w:ascii="Renault Group" w:eastAsia="Calibri" w:hAnsi="Renault Group" w:cs="Arial"/>
          <w:sz w:val="22"/>
          <w:szCs w:val="22"/>
          <w:lang w:val="de-AT"/>
        </w:rPr>
        <w:br/>
        <w:t>(- 0,4 Prozent gegenüber dem ersten Halbjahr 2025). In diesem stabilen Ergebnis der drei sich ergänzenden Marken spiegelt sich eine verbesserte Absatzqualität, eine starke Wertorientierung sowie die beschleunigte Elektrifizierung der Modellpalette wider.</w:t>
      </w:r>
    </w:p>
    <w:p w14:paraId="452B0C9F" w14:textId="77777777" w:rsidR="00A72C8B" w:rsidRPr="00A72C8B" w:rsidRDefault="00A72C8B" w:rsidP="00A72C8B">
      <w:pPr>
        <w:numPr>
          <w:ilvl w:val="0"/>
          <w:numId w:val="3"/>
        </w:numPr>
        <w:spacing w:before="0" w:line="280" w:lineRule="atLeast"/>
        <w:jc w:val="both"/>
        <w:rPr>
          <w:rFonts w:ascii="Renault Group" w:eastAsia="Calibri" w:hAnsi="Renault Group" w:cs="Arial"/>
          <w:sz w:val="22"/>
          <w:szCs w:val="22"/>
          <w:lang w:val="de-AT"/>
        </w:rPr>
      </w:pPr>
      <w:r w:rsidRPr="00A72C8B">
        <w:rPr>
          <w:rFonts w:ascii="Renault Group" w:eastAsia="Calibri" w:hAnsi="Renault Group" w:cs="Arial"/>
          <w:b/>
          <w:bCs/>
          <w:sz w:val="22"/>
          <w:szCs w:val="22"/>
          <w:lang w:val="de-AT"/>
        </w:rPr>
        <w:t>Außerhalb Europas stärkt die Renault Group im Bereich Pkw und leichte Nutzfahrzeuge ihre Positionen in ihren strategischen Märkten</w:t>
      </w:r>
      <w:r w:rsidRPr="00A72C8B">
        <w:rPr>
          <w:rFonts w:ascii="Renault Group" w:eastAsia="Calibri" w:hAnsi="Renault Group" w:cs="Arial"/>
          <w:sz w:val="22"/>
          <w:szCs w:val="22"/>
          <w:lang w:val="de-AT"/>
        </w:rPr>
        <w:t>, angetrieben durch das Absatzwachstum der Marke Renault im zweiten Jahr in Folge (+ 2,8 Prozent). Die Konzernverkäufe stiegen in Indien (+ 61,2 Prozent), der Türkei (+ 15,4 Prozent), Marokko (+ 13,7 Prozent) und Brasilien (+ 5,3 Prozent).</w:t>
      </w:r>
    </w:p>
    <w:p w14:paraId="1F90124B" w14:textId="77777777" w:rsidR="00A72C8B" w:rsidRPr="00A72C8B" w:rsidRDefault="00A72C8B" w:rsidP="00A72C8B">
      <w:pPr>
        <w:numPr>
          <w:ilvl w:val="0"/>
          <w:numId w:val="3"/>
        </w:numPr>
        <w:spacing w:before="0" w:line="280" w:lineRule="atLeast"/>
        <w:jc w:val="both"/>
        <w:rPr>
          <w:rFonts w:ascii="Renault Group" w:eastAsia="Calibri" w:hAnsi="Renault Group" w:cs="Arial"/>
          <w:sz w:val="22"/>
          <w:szCs w:val="22"/>
          <w:lang w:val="de-AT"/>
        </w:rPr>
      </w:pPr>
      <w:r w:rsidRPr="00A72C8B">
        <w:rPr>
          <w:rFonts w:ascii="Renault Group" w:eastAsia="Calibri" w:hAnsi="Renault Group" w:cs="Arial"/>
          <w:b/>
          <w:bCs/>
          <w:sz w:val="22"/>
          <w:szCs w:val="22"/>
          <w:lang w:val="de-AT"/>
        </w:rPr>
        <w:t>In Europa</w:t>
      </w:r>
      <w:r w:rsidRPr="00A72C8B">
        <w:rPr>
          <w:rStyle w:val="Funotenzeichen"/>
          <w:rFonts w:ascii="Renault Group" w:eastAsia="Calibri" w:hAnsi="Renault Group" w:cs="Arial"/>
          <w:b/>
          <w:bCs/>
          <w:sz w:val="22"/>
          <w:szCs w:val="22"/>
          <w:lang w:val="de-AT"/>
        </w:rPr>
        <w:footnoteReference w:id="1"/>
      </w:r>
      <w:r w:rsidRPr="00A72C8B">
        <w:rPr>
          <w:rFonts w:ascii="Renault Group" w:eastAsia="Calibri" w:hAnsi="Renault Group" w:cs="Arial"/>
          <w:sz w:val="22"/>
          <w:szCs w:val="22"/>
          <w:lang w:val="de-AT"/>
        </w:rPr>
        <w:t xml:space="preserve"> verkaufte die Renault Group 821.092 Pkw + leichte Nutzfahrzeuge (- 1,3 Prozent).</w:t>
      </w:r>
    </w:p>
    <w:p w14:paraId="751A9B9D" w14:textId="77777777" w:rsidR="00A72C8B" w:rsidRPr="00A72C8B" w:rsidRDefault="00A72C8B" w:rsidP="00A72C8B">
      <w:pPr>
        <w:numPr>
          <w:ilvl w:val="1"/>
          <w:numId w:val="3"/>
        </w:numPr>
        <w:spacing w:before="0" w:line="280" w:lineRule="atLeast"/>
        <w:jc w:val="both"/>
        <w:rPr>
          <w:rFonts w:ascii="Renault Group" w:eastAsia="Calibri" w:hAnsi="Renault Group" w:cs="Arial"/>
          <w:sz w:val="22"/>
          <w:szCs w:val="22"/>
          <w:lang w:val="de-AT"/>
        </w:rPr>
      </w:pPr>
      <w:r w:rsidRPr="00A72C8B">
        <w:rPr>
          <w:rFonts w:ascii="Renault Group" w:eastAsia="Calibri" w:hAnsi="Renault Group" w:cs="Arial"/>
          <w:b/>
          <w:bCs/>
          <w:sz w:val="22"/>
          <w:szCs w:val="22"/>
          <w:lang w:val="de-AT"/>
        </w:rPr>
        <w:t>Marke Renault:</w:t>
      </w:r>
      <w:r w:rsidRPr="00A72C8B">
        <w:rPr>
          <w:rFonts w:ascii="Renault Group" w:eastAsia="Calibri" w:hAnsi="Renault Group" w:cs="Arial"/>
          <w:sz w:val="22"/>
          <w:szCs w:val="22"/>
          <w:lang w:val="de-AT"/>
        </w:rPr>
        <w:t xml:space="preserve"> 528.849 Fahrzeuge (+ 2,6 Prozent). Renault belegt Platz 2 in Europa. Der Renault 5 ist das meistverkaufte Elektrofahrzeug im B-Segment in Europa.</w:t>
      </w:r>
    </w:p>
    <w:p w14:paraId="18D0C41C" w14:textId="77777777" w:rsidR="00A72C8B" w:rsidRPr="00A72C8B" w:rsidRDefault="00A72C8B" w:rsidP="00A72C8B">
      <w:pPr>
        <w:numPr>
          <w:ilvl w:val="1"/>
          <w:numId w:val="3"/>
        </w:numPr>
        <w:spacing w:before="0" w:line="280" w:lineRule="atLeast"/>
        <w:jc w:val="both"/>
        <w:rPr>
          <w:rFonts w:ascii="Renault Group" w:eastAsia="Calibri" w:hAnsi="Renault Group" w:cs="Arial"/>
          <w:sz w:val="22"/>
          <w:szCs w:val="22"/>
          <w:lang w:val="de-AT"/>
        </w:rPr>
      </w:pPr>
      <w:r w:rsidRPr="00A72C8B">
        <w:rPr>
          <w:rFonts w:ascii="Renault Group" w:eastAsia="Calibri" w:hAnsi="Renault Group" w:cs="Arial"/>
          <w:b/>
          <w:bCs/>
          <w:sz w:val="22"/>
          <w:szCs w:val="22"/>
          <w:lang w:val="de-AT"/>
        </w:rPr>
        <w:t>Marke Dacia:</w:t>
      </w:r>
      <w:r w:rsidRPr="00A72C8B">
        <w:rPr>
          <w:rFonts w:ascii="Renault Group" w:eastAsia="Calibri" w:hAnsi="Renault Group" w:cs="Arial"/>
          <w:sz w:val="22"/>
          <w:szCs w:val="22"/>
          <w:lang w:val="de-AT"/>
        </w:rPr>
        <w:t xml:space="preserve"> 284.021 Pkw (- 8,7 Prozent). Dank einer verbesserten Dynamik im zweiten Quartal bleibt Dacia bei den Verkäufen an Privatkunden in Europa auf dem Podium. Der Dacia Sandero ist der meistverkaufte Pkw in Europa über alle Vertriebskanäle hinweg.</w:t>
      </w:r>
    </w:p>
    <w:p w14:paraId="1C001335" w14:textId="77777777" w:rsidR="00A72C8B" w:rsidRPr="00A72C8B" w:rsidRDefault="00A72C8B" w:rsidP="00A72C8B">
      <w:pPr>
        <w:numPr>
          <w:ilvl w:val="1"/>
          <w:numId w:val="3"/>
        </w:numPr>
        <w:spacing w:before="0" w:line="280" w:lineRule="atLeast"/>
        <w:jc w:val="both"/>
        <w:rPr>
          <w:rFonts w:ascii="Renault Group" w:eastAsia="Calibri" w:hAnsi="Renault Group" w:cs="Arial"/>
          <w:sz w:val="22"/>
          <w:szCs w:val="22"/>
          <w:lang w:val="de-AT"/>
        </w:rPr>
      </w:pPr>
      <w:r w:rsidRPr="00A72C8B">
        <w:rPr>
          <w:rFonts w:ascii="Renault Group" w:eastAsia="Calibri" w:hAnsi="Renault Group" w:cs="Arial"/>
          <w:b/>
          <w:bCs/>
          <w:sz w:val="22"/>
          <w:szCs w:val="22"/>
          <w:lang w:val="de-AT"/>
        </w:rPr>
        <w:t>Marke Alpine:</w:t>
      </w:r>
      <w:r w:rsidRPr="00A72C8B">
        <w:rPr>
          <w:rFonts w:ascii="Renault Group" w:eastAsia="Calibri" w:hAnsi="Renault Group" w:cs="Arial"/>
          <w:sz w:val="22"/>
          <w:szCs w:val="22"/>
          <w:lang w:val="de-AT"/>
        </w:rPr>
        <w:t xml:space="preserve"> 8.222 Pkw (+ 67,6 Prozent). Alpine verzeichnet ein rekordverdächtiges Halbjahr. Die Alpine A290 trägt weiterhin zur Leistung der Marke bei, während die Alpine A390 seine ersten Auslieferungen verzeichnete.</w:t>
      </w:r>
    </w:p>
    <w:p w14:paraId="49ED9219" w14:textId="77777777" w:rsidR="00A72C8B" w:rsidRPr="00A72C8B" w:rsidRDefault="00A72C8B" w:rsidP="00A72C8B">
      <w:pPr>
        <w:numPr>
          <w:ilvl w:val="0"/>
          <w:numId w:val="3"/>
        </w:numPr>
        <w:spacing w:before="0" w:line="280" w:lineRule="atLeast"/>
        <w:jc w:val="both"/>
        <w:rPr>
          <w:rFonts w:ascii="Renault Group" w:eastAsia="Calibri" w:hAnsi="Renault Group" w:cs="Arial"/>
          <w:sz w:val="22"/>
          <w:szCs w:val="22"/>
          <w:lang w:val="de-AT"/>
        </w:rPr>
      </w:pPr>
      <w:r w:rsidRPr="00A72C8B">
        <w:rPr>
          <w:rFonts w:ascii="Renault Group" w:eastAsia="Calibri" w:hAnsi="Renault Group" w:cs="Arial"/>
          <w:b/>
          <w:bCs/>
          <w:sz w:val="22"/>
          <w:szCs w:val="22"/>
          <w:lang w:val="de-AT"/>
        </w:rPr>
        <w:t>Auf dem europäischen Markt für leichte Nutzfahrzeuge, der im ersten Halbjahr eine leichte Erholung verzeichnete (+ 2,1 Prozent), ist der Absatz der Marke Renault um 11,7 Prozent gestiegen.</w:t>
      </w:r>
      <w:r w:rsidRPr="00A72C8B">
        <w:rPr>
          <w:rFonts w:ascii="Renault Group" w:eastAsia="Calibri" w:hAnsi="Renault Group" w:cs="Arial"/>
          <w:sz w:val="22"/>
          <w:szCs w:val="22"/>
          <w:lang w:val="de-AT"/>
        </w:rPr>
        <w:t xml:space="preserve"> Gestützt durch die umfassende Master Produktpalette konnte Renault seinen zweiten Platz auf dem Markt behaupten.</w:t>
      </w:r>
    </w:p>
    <w:p w14:paraId="3A0AAB9D" w14:textId="77777777" w:rsidR="00A72C8B" w:rsidRPr="00A72C8B" w:rsidRDefault="00A72C8B" w:rsidP="00A72C8B">
      <w:pPr>
        <w:numPr>
          <w:ilvl w:val="0"/>
          <w:numId w:val="3"/>
        </w:numPr>
        <w:spacing w:before="0" w:line="280" w:lineRule="atLeast"/>
        <w:jc w:val="both"/>
        <w:rPr>
          <w:rFonts w:ascii="Renault Group" w:eastAsia="Calibri" w:hAnsi="Renault Group" w:cs="Arial"/>
          <w:b/>
          <w:bCs/>
          <w:sz w:val="22"/>
          <w:szCs w:val="22"/>
          <w:lang w:val="de-AT"/>
        </w:rPr>
      </w:pPr>
      <w:r w:rsidRPr="00A72C8B">
        <w:rPr>
          <w:rFonts w:ascii="Renault Group" w:eastAsia="Calibri" w:hAnsi="Renault Group" w:cs="Arial"/>
          <w:b/>
          <w:bCs/>
          <w:sz w:val="22"/>
          <w:szCs w:val="22"/>
          <w:lang w:val="de-AT"/>
        </w:rPr>
        <w:t>Die Renault Group setzt ihre auf Wert und Absatzqualität ausgerichtete Strategie erfolgreich fort:</w:t>
      </w:r>
    </w:p>
    <w:p w14:paraId="46667A68" w14:textId="77777777" w:rsidR="00A72C8B" w:rsidRPr="00A72C8B" w:rsidRDefault="00A72C8B" w:rsidP="00A72C8B">
      <w:pPr>
        <w:numPr>
          <w:ilvl w:val="1"/>
          <w:numId w:val="3"/>
        </w:numPr>
        <w:spacing w:before="0" w:line="280" w:lineRule="atLeast"/>
        <w:jc w:val="both"/>
        <w:rPr>
          <w:rFonts w:ascii="Renault Group" w:eastAsia="Calibri" w:hAnsi="Renault Group" w:cs="Arial"/>
          <w:sz w:val="22"/>
          <w:szCs w:val="22"/>
          <w:lang w:val="de-AT"/>
        </w:rPr>
      </w:pPr>
      <w:r w:rsidRPr="00A72C8B">
        <w:rPr>
          <w:rFonts w:ascii="Renault Group" w:eastAsia="Calibri" w:hAnsi="Renault Group" w:cs="Arial"/>
          <w:sz w:val="22"/>
          <w:szCs w:val="22"/>
          <w:lang w:val="de-AT"/>
        </w:rPr>
        <w:t>Fokussierung auf den Privatmarkt bei gleichzeitiger Reduzierung des Engagements in den am wenigsten rentablen Vertriebskanälen. In den fünf wichtigsten europäischen Märkten</w:t>
      </w:r>
      <w:r w:rsidRPr="00A72C8B">
        <w:rPr>
          <w:rStyle w:val="Funotenzeichen"/>
          <w:rFonts w:ascii="Renault Group" w:eastAsia="Calibri" w:hAnsi="Renault Group" w:cs="Arial"/>
          <w:sz w:val="22"/>
          <w:szCs w:val="22"/>
          <w:lang w:val="de-AT"/>
        </w:rPr>
        <w:footnoteReference w:id="2"/>
      </w:r>
      <w:r w:rsidRPr="00A72C8B">
        <w:rPr>
          <w:rFonts w:ascii="Renault Group" w:eastAsia="Calibri" w:hAnsi="Renault Group" w:cs="Arial"/>
          <w:sz w:val="22"/>
          <w:szCs w:val="22"/>
          <w:lang w:val="de-AT"/>
        </w:rPr>
        <w:t xml:space="preserve"> verkaufte die Renault Group 60,0 Prozent ihrer Pkw an Privatkunden (+ 3,8 Prozentpunkte, 17,7 Prozentpunkte über dem Marktdurchschnitt).</w:t>
      </w:r>
    </w:p>
    <w:p w14:paraId="6472AF7C" w14:textId="77777777" w:rsidR="00A72C8B" w:rsidRPr="00A72C8B" w:rsidRDefault="00A72C8B" w:rsidP="00A72C8B">
      <w:pPr>
        <w:numPr>
          <w:ilvl w:val="1"/>
          <w:numId w:val="3"/>
        </w:numPr>
        <w:spacing w:before="0" w:line="280" w:lineRule="atLeast"/>
        <w:jc w:val="both"/>
        <w:rPr>
          <w:rFonts w:ascii="Renault Group" w:eastAsia="Calibri" w:hAnsi="Renault Group" w:cs="Arial"/>
          <w:sz w:val="22"/>
          <w:szCs w:val="22"/>
          <w:lang w:val="de-AT"/>
        </w:rPr>
      </w:pPr>
      <w:r w:rsidRPr="00A72C8B">
        <w:rPr>
          <w:rFonts w:ascii="Renault Group" w:eastAsia="Calibri" w:hAnsi="Renault Group" w:cs="Arial"/>
          <w:sz w:val="22"/>
          <w:szCs w:val="22"/>
          <w:lang w:val="de-AT"/>
        </w:rPr>
        <w:t>Anstieg der Pkw-Verkäufe im C-Segment in Europa auf 164.161 Einheiten (+ 15,3 Prozent), insbesondere getrieben durch die zunehmende Dynamik von Dacia in diesem Segment.</w:t>
      </w:r>
    </w:p>
    <w:p w14:paraId="1EC321BC" w14:textId="77777777" w:rsidR="00A72C8B" w:rsidRPr="00A72C8B" w:rsidRDefault="00A72C8B" w:rsidP="00A72C8B">
      <w:pPr>
        <w:numPr>
          <w:ilvl w:val="1"/>
          <w:numId w:val="3"/>
        </w:numPr>
        <w:spacing w:before="0" w:line="280" w:lineRule="atLeast"/>
        <w:jc w:val="both"/>
        <w:rPr>
          <w:rFonts w:ascii="Renault Group" w:eastAsia="Calibri" w:hAnsi="Renault Group" w:cs="Arial"/>
          <w:sz w:val="22"/>
          <w:szCs w:val="22"/>
          <w:lang w:val="de-AT"/>
        </w:rPr>
      </w:pPr>
      <w:r w:rsidRPr="00A72C8B">
        <w:rPr>
          <w:rFonts w:ascii="Renault Group" w:eastAsia="Calibri" w:hAnsi="Renault Group" w:cs="Arial"/>
          <w:sz w:val="22"/>
          <w:szCs w:val="22"/>
          <w:lang w:val="de-AT"/>
        </w:rPr>
        <w:lastRenderedPageBreak/>
        <w:t>Diszipliniertes Restwertmanagement</w:t>
      </w:r>
      <w:r w:rsidRPr="00A72C8B">
        <w:rPr>
          <w:rStyle w:val="Funotenzeichen"/>
          <w:rFonts w:ascii="Renault Group" w:eastAsia="Calibri" w:hAnsi="Renault Group" w:cs="Arial"/>
          <w:sz w:val="22"/>
          <w:szCs w:val="22"/>
          <w:lang w:val="de-AT"/>
        </w:rPr>
        <w:footnoteReference w:id="3"/>
      </w:r>
      <w:r w:rsidRPr="00A72C8B">
        <w:rPr>
          <w:rFonts w:ascii="Renault Group" w:eastAsia="Calibri" w:hAnsi="Renault Group" w:cs="Arial"/>
          <w:sz w:val="22"/>
          <w:szCs w:val="22"/>
          <w:lang w:val="de-AT"/>
        </w:rPr>
        <w:t xml:space="preserve"> mit Restwerten, die europaweit 4 bis 13 Punkte über denen der Wettbewerber liegen.</w:t>
      </w:r>
    </w:p>
    <w:p w14:paraId="3EF1DC2C" w14:textId="77777777" w:rsidR="00A72C8B" w:rsidRPr="00A72C8B" w:rsidRDefault="00A72C8B" w:rsidP="00A72C8B">
      <w:pPr>
        <w:numPr>
          <w:ilvl w:val="1"/>
          <w:numId w:val="3"/>
        </w:numPr>
        <w:spacing w:before="0" w:line="280" w:lineRule="atLeast"/>
        <w:jc w:val="both"/>
        <w:rPr>
          <w:rFonts w:ascii="Renault Group" w:eastAsia="Calibri" w:hAnsi="Renault Group" w:cs="Arial"/>
          <w:sz w:val="22"/>
          <w:szCs w:val="22"/>
          <w:lang w:val="de-AT"/>
        </w:rPr>
      </w:pPr>
      <w:r w:rsidRPr="00A72C8B">
        <w:rPr>
          <w:rFonts w:ascii="Renault Group" w:eastAsia="Calibri" w:hAnsi="Renault Group" w:cs="Arial"/>
          <w:sz w:val="22"/>
          <w:szCs w:val="22"/>
          <w:lang w:val="de-AT"/>
        </w:rPr>
        <w:t>Ein solider Auftragsbestand in Europa; der Vorabsatz lag Ende Juni 2026 bei 2,1 Monaten.</w:t>
      </w:r>
    </w:p>
    <w:p w14:paraId="5F986AA2" w14:textId="53BF87BD" w:rsidR="00A72C8B" w:rsidRPr="00A72C8B" w:rsidRDefault="00A72C8B" w:rsidP="00A72C8B">
      <w:pPr>
        <w:numPr>
          <w:ilvl w:val="0"/>
          <w:numId w:val="3"/>
        </w:numPr>
        <w:spacing w:before="0" w:line="280" w:lineRule="atLeast"/>
        <w:jc w:val="both"/>
        <w:rPr>
          <w:rFonts w:ascii="Renault Group" w:eastAsia="Calibri" w:hAnsi="Renault Group" w:cs="Arial"/>
          <w:sz w:val="22"/>
          <w:szCs w:val="22"/>
          <w:lang w:val="de-AT"/>
        </w:rPr>
      </w:pPr>
      <w:r w:rsidRPr="00A72C8B">
        <w:rPr>
          <w:rFonts w:ascii="Renault Group" w:eastAsia="Calibri" w:hAnsi="Renault Group" w:cs="Arial"/>
          <w:b/>
          <w:bCs/>
          <w:sz w:val="22"/>
          <w:szCs w:val="22"/>
          <w:lang w:val="de-AT"/>
        </w:rPr>
        <w:t>Die Renault Group treibt die Elektrifizierung ihrer Pkw-Verkäufe bei allen Konzernmarken voran.</w:t>
      </w:r>
      <w:r w:rsidRPr="00A72C8B">
        <w:rPr>
          <w:rFonts w:ascii="Renault Group" w:eastAsia="Calibri" w:hAnsi="Renault Group" w:cs="Arial"/>
          <w:sz w:val="22"/>
          <w:szCs w:val="22"/>
          <w:lang w:val="de-AT"/>
        </w:rPr>
        <w:t xml:space="preserve"> In Europa machten elektrifizierte Fahrzeuge</w:t>
      </w:r>
      <w:r w:rsidR="00EA5972">
        <w:rPr>
          <w:rStyle w:val="Funotenzeichen"/>
          <w:rFonts w:ascii="Renault Group" w:eastAsia="Calibri" w:hAnsi="Renault Group" w:cs="Arial"/>
          <w:sz w:val="22"/>
          <w:szCs w:val="22"/>
          <w:lang w:val="de-AT"/>
        </w:rPr>
        <w:footnoteReference w:id="4"/>
      </w:r>
      <w:r w:rsidRPr="00A72C8B">
        <w:rPr>
          <w:rFonts w:ascii="Renault Group" w:eastAsia="Calibri" w:hAnsi="Renault Group" w:cs="Arial"/>
          <w:sz w:val="22"/>
          <w:szCs w:val="22"/>
          <w:lang w:val="de-AT"/>
        </w:rPr>
        <w:t xml:space="preserve"> im ersten Halbjahr 2026 52,0 Prozent des Konzernabsatzes aus, was einem Anstieg um 8,2 Prozentpunkte entspricht. Der Anteil an batterieelektrischen Fahrzeugen (BEV) betrug 18,8 Prozent.</w:t>
      </w:r>
    </w:p>
    <w:p w14:paraId="753FC335" w14:textId="77777777" w:rsidR="00A72C8B" w:rsidRPr="00A72C8B" w:rsidRDefault="00A72C8B" w:rsidP="00A72C8B">
      <w:pPr>
        <w:numPr>
          <w:ilvl w:val="1"/>
          <w:numId w:val="3"/>
        </w:numPr>
        <w:spacing w:before="0" w:line="280" w:lineRule="atLeast"/>
        <w:jc w:val="both"/>
        <w:rPr>
          <w:rFonts w:ascii="Renault Group" w:eastAsia="Calibri" w:hAnsi="Renault Group" w:cs="Arial"/>
          <w:sz w:val="22"/>
          <w:szCs w:val="22"/>
          <w:lang w:val="de-AT"/>
        </w:rPr>
      </w:pPr>
      <w:r w:rsidRPr="00A72C8B">
        <w:rPr>
          <w:rFonts w:ascii="Renault Group" w:eastAsia="Calibri" w:hAnsi="Renault Group" w:cs="Arial"/>
          <w:b/>
          <w:bCs/>
          <w:sz w:val="22"/>
          <w:szCs w:val="22"/>
          <w:lang w:val="de-AT"/>
        </w:rPr>
        <w:t>Die Marke Renault treibt die Elektrifizierung des Konzerns voran:</w:t>
      </w:r>
      <w:r w:rsidRPr="00A72C8B">
        <w:rPr>
          <w:rFonts w:ascii="Renault Group" w:eastAsia="Calibri" w:hAnsi="Renault Group" w:cs="Arial"/>
          <w:sz w:val="22"/>
          <w:szCs w:val="22"/>
          <w:lang w:val="de-AT"/>
        </w:rPr>
        <w:t xml:space="preserve"> Zwei von drei in Europa verkauften Fahrzeugen der Marke Renault (66,3 Prozent) waren elektrifiziert (+ 7,2 Prozentpunkte). BEVs machten 26,6 Prozent des Renault Absatzes aus (+ 10,3 Prozentpunkte), was insbesondere auf den Erfolg des Renault 5 E-Tech elektrisch, des Renault 4 E-Tech elektrisch und des Scenic E-Tech elektrisch zurückzuführen ist. Auf dem Markt für Hybridfahrzeuge (HEV) und auf dem BEV-Privatkundenmarkt ist Renault jeweils die zweitstärkste Marke.</w:t>
      </w:r>
    </w:p>
    <w:p w14:paraId="2A30B9D9" w14:textId="77777777" w:rsidR="00A72C8B" w:rsidRPr="00A72C8B" w:rsidRDefault="00A72C8B" w:rsidP="00A72C8B">
      <w:pPr>
        <w:numPr>
          <w:ilvl w:val="1"/>
          <w:numId w:val="3"/>
        </w:numPr>
        <w:spacing w:before="0" w:line="280" w:lineRule="atLeast"/>
        <w:jc w:val="both"/>
        <w:rPr>
          <w:rFonts w:eastAsia="Calibri" w:cs="Arial"/>
          <w:sz w:val="22"/>
          <w:szCs w:val="22"/>
          <w:lang w:val="de-AT"/>
        </w:rPr>
      </w:pPr>
      <w:r w:rsidRPr="00A72C8B">
        <w:rPr>
          <w:rFonts w:ascii="Renault Group" w:eastAsia="Calibri" w:hAnsi="Renault Group" w:cs="Arial"/>
          <w:b/>
          <w:bCs/>
          <w:sz w:val="22"/>
          <w:szCs w:val="22"/>
          <w:lang w:val="de-AT"/>
        </w:rPr>
        <w:t>Dacia wächst rasant im Hybridsegment:</w:t>
      </w:r>
      <w:r w:rsidRPr="00A72C8B">
        <w:rPr>
          <w:rFonts w:ascii="Renault Group" w:eastAsia="Calibri" w:hAnsi="Renault Group" w:cs="Arial"/>
          <w:sz w:val="22"/>
          <w:szCs w:val="22"/>
          <w:lang w:val="de-AT"/>
        </w:rPr>
        <w:t xml:space="preserve"> 30,8 Prozent der Dacia Verkäufe entfielen auf elektrifizierte Fahrzeuge (+ 7,2 Prozentpunkte). Angetrieben durch Duster und Bigster sind die </w:t>
      </w:r>
      <w:r w:rsidRPr="00A72C8B">
        <w:rPr>
          <w:rFonts w:eastAsia="Calibri" w:cs="Arial"/>
          <w:sz w:val="22"/>
          <w:szCs w:val="22"/>
          <w:lang w:val="de-AT"/>
        </w:rPr>
        <w:t>Verkäufe von Hybridfahrzeugen stark gestiegen (+ 30,2 Prozent) und machten jeden vierten Verkauf aus (+ 7,5 Punkte).</w:t>
      </w:r>
    </w:p>
    <w:p w14:paraId="52C8A90F" w14:textId="32EB2F77" w:rsidR="00A72C8B" w:rsidRPr="00FB2510" w:rsidRDefault="00A72C8B" w:rsidP="00431EEF">
      <w:pPr>
        <w:numPr>
          <w:ilvl w:val="1"/>
          <w:numId w:val="3"/>
        </w:numPr>
        <w:spacing w:before="0" w:line="280" w:lineRule="atLeast"/>
        <w:jc w:val="both"/>
        <w:rPr>
          <w:rFonts w:eastAsia="Calibri" w:cs="Arial"/>
          <w:sz w:val="22"/>
          <w:szCs w:val="22"/>
          <w:lang w:val="de-AT"/>
        </w:rPr>
      </w:pPr>
      <w:r w:rsidRPr="00FB2510">
        <w:rPr>
          <w:rFonts w:eastAsia="Calibri" w:cs="Arial"/>
          <w:b/>
          <w:bCs/>
          <w:sz w:val="22"/>
          <w:szCs w:val="22"/>
          <w:lang w:val="de-AT"/>
        </w:rPr>
        <w:t>Alpine tritt bei der Elektrifizierung aufs Gaspedal:</w:t>
      </w:r>
      <w:r w:rsidRPr="00FB2510">
        <w:rPr>
          <w:rFonts w:eastAsia="Calibri" w:cs="Arial"/>
          <w:sz w:val="22"/>
          <w:szCs w:val="22"/>
          <w:lang w:val="de-AT"/>
        </w:rPr>
        <w:t xml:space="preserve"> Dank des anhaltenden Erfolgs der Alpine A290 und der kürzlichen Markteinführung der Alpine A390 stellen Elektrofahrzeuge mittlerweile mehr als 80 Prozent der Verkäufe der Marke.</w:t>
      </w:r>
    </w:p>
    <w:p w14:paraId="770A7658" w14:textId="77777777" w:rsidR="00A72C8B" w:rsidRPr="00A72C8B" w:rsidRDefault="00A72C8B" w:rsidP="00A72C8B">
      <w:pPr>
        <w:pStyle w:val="Listenabsatz"/>
        <w:numPr>
          <w:ilvl w:val="0"/>
          <w:numId w:val="3"/>
        </w:numPr>
        <w:spacing w:before="0" w:line="280" w:lineRule="atLeast"/>
        <w:jc w:val="both"/>
        <w:rPr>
          <w:rFonts w:eastAsia="Calibri" w:cs="Arial"/>
          <w:sz w:val="22"/>
          <w:szCs w:val="22"/>
          <w:lang w:val="de-AT"/>
        </w:rPr>
      </w:pPr>
      <w:r w:rsidRPr="00A72C8B">
        <w:rPr>
          <w:rFonts w:eastAsia="Calibri" w:cs="Arial"/>
          <w:b/>
          <w:bCs/>
          <w:sz w:val="22"/>
          <w:szCs w:val="22"/>
          <w:lang w:val="de-AT"/>
        </w:rPr>
        <w:t>Die Renault Group hat ihre Produktoffensive 2026 weiter fortgesetzt,</w:t>
      </w:r>
      <w:r w:rsidRPr="00A72C8B">
        <w:rPr>
          <w:rFonts w:eastAsia="Calibri" w:cs="Arial"/>
          <w:sz w:val="22"/>
          <w:szCs w:val="22"/>
          <w:lang w:val="de-AT"/>
        </w:rPr>
        <w:t xml:space="preserve"> mit der Einführung des Renault Twingo E-Tech elektrisch und des Marktstarts des Renault Duster in Indien im ersten Halbjahr. Der Renault Trafic E-Tech elektrisch, der Renault Niagara in Lateinamerika, der Dacia Sandero mit einem neuen Hybridantrieb, der neue Dacia Spring, der Dacia Striker und die Alpine A390 GTS werden das Angebot bis zum Jahresende vervollständigen.</w:t>
      </w:r>
    </w:p>
    <w:p w14:paraId="5FAB64D5" w14:textId="77777777" w:rsidR="00A72C8B" w:rsidRPr="00A72C8B" w:rsidRDefault="00A72C8B" w:rsidP="00A72C8B">
      <w:pPr>
        <w:pStyle w:val="4Lauftext"/>
        <w:suppressAutoHyphens/>
        <w:ind w:left="720"/>
        <w:rPr>
          <w:rFonts w:asciiTheme="minorHAnsi" w:eastAsia="Renault Group" w:hAnsiTheme="minorHAnsi" w:cs="Times New Roman"/>
          <w:b/>
          <w:bCs/>
          <w:color w:val="auto"/>
          <w:sz w:val="22"/>
          <w:szCs w:val="22"/>
          <w:lang w:val="de-AT"/>
        </w:rPr>
      </w:pPr>
    </w:p>
    <w:bookmarkEnd w:id="3"/>
    <w:p w14:paraId="72708CBB" w14:textId="418EC17A" w:rsidR="00A72C8B" w:rsidRPr="00A72C8B" w:rsidRDefault="00A72C8B" w:rsidP="00A72C8B">
      <w:pPr>
        <w:spacing w:line="280" w:lineRule="atLeast"/>
        <w:jc w:val="both"/>
        <w:rPr>
          <w:rFonts w:eastAsia="Calibri" w:cs="Arial"/>
          <w:b/>
          <w:bCs/>
          <w:sz w:val="22"/>
          <w:szCs w:val="22"/>
          <w:lang w:val="de-AT"/>
        </w:rPr>
      </w:pPr>
      <w:r w:rsidRPr="00A72C8B">
        <w:rPr>
          <w:rFonts w:eastAsia="Calibri" w:cs="Arial"/>
          <w:b/>
          <w:bCs/>
          <w:sz w:val="22"/>
          <w:szCs w:val="22"/>
          <w:lang w:val="de-AT"/>
        </w:rPr>
        <w:t>Marke Renault: Umsetzung der futuREady Strategie durch die Kombination von Wachstum, Elektrifizierung und Wertorientierung</w:t>
      </w:r>
    </w:p>
    <w:p w14:paraId="7518B026" w14:textId="728664FC" w:rsidR="00A72C8B" w:rsidRPr="00A72C8B" w:rsidRDefault="00A72C8B" w:rsidP="00A72C8B">
      <w:pPr>
        <w:spacing w:line="280" w:lineRule="atLeast"/>
        <w:jc w:val="both"/>
        <w:rPr>
          <w:rFonts w:eastAsia="Calibri" w:cs="Arial"/>
          <w:sz w:val="22"/>
          <w:szCs w:val="22"/>
          <w:lang w:val="de-AT"/>
        </w:rPr>
      </w:pPr>
      <w:r w:rsidRPr="00A72C8B">
        <w:rPr>
          <w:rFonts w:eastAsia="Calibri" w:cs="Arial"/>
          <w:sz w:val="22"/>
          <w:szCs w:val="22"/>
          <w:lang w:val="de-AT"/>
        </w:rPr>
        <w:t>Die Marke Renault hat ersten Halbjahr 2026 weltweit 829.518 Fahrzeuge verkauft, was einem Anstieg von 2,6 Prozent gegenüber dem ersten Halbjahr 2025 entspricht. Die anhaltende Wachstumsdynamik der Marke setzt sich damit im vierten Jahr in Folge fort. Sowohl Europa als auch die internationalen Märkte haben zu dieser Entwicklung beigetragen, wobei insbesondere in den nordeuropäischen Ländern</w:t>
      </w:r>
      <w:r w:rsidRPr="00A72C8B">
        <w:rPr>
          <w:rStyle w:val="Funotenzeichen"/>
          <w:rFonts w:eastAsia="Calibri" w:cs="Arial"/>
          <w:sz w:val="22"/>
          <w:szCs w:val="22"/>
          <w:lang w:val="de-AT"/>
        </w:rPr>
        <w:footnoteReference w:id="5"/>
      </w:r>
      <w:r w:rsidRPr="00A72C8B">
        <w:rPr>
          <w:rFonts w:eastAsia="Calibri" w:cs="Arial"/>
          <w:sz w:val="22"/>
          <w:szCs w:val="22"/>
          <w:lang w:val="de-AT"/>
        </w:rPr>
        <w:t xml:space="preserve"> eine deutliche Beschleunigung zu verzeichnen war: Dort steigerte Renault den Absatz um 14,0 Prozent in einem Markt, der um 6,0 Prozent wuchs. Die positive Entwicklung wird durch die Prioritäten der futuREady Strategie gestützt: Beschleunigung der Elektrifizierung, Verfolgung einer wertorientierten Geschäftspolitik und Umsetzung der internationalen Roadmap der Marke.</w:t>
      </w:r>
    </w:p>
    <w:p w14:paraId="30FD9F67" w14:textId="54EC1355" w:rsidR="00A72C8B" w:rsidRPr="00A72C8B" w:rsidRDefault="00A72C8B" w:rsidP="00A72C8B">
      <w:pPr>
        <w:spacing w:line="280" w:lineRule="atLeast"/>
        <w:jc w:val="both"/>
        <w:rPr>
          <w:rFonts w:eastAsia="Calibri" w:cs="Arial"/>
          <w:sz w:val="22"/>
          <w:szCs w:val="22"/>
          <w:lang w:val="de-AT"/>
        </w:rPr>
      </w:pPr>
      <w:r w:rsidRPr="00A72C8B">
        <w:rPr>
          <w:rFonts w:eastAsia="Calibri" w:cs="Arial"/>
          <w:sz w:val="22"/>
          <w:szCs w:val="22"/>
          <w:lang w:val="de-AT"/>
        </w:rPr>
        <w:lastRenderedPageBreak/>
        <w:t>Zwei von drei in Europa verkauften Renault Pkw sind mittlerweile elektrifiziert (66,3 Prozent), was einem Anstieg von 7,2 Prozentpunkten gegenüber dem Vorjahr entspricht. Gestützt auf eine attraktive Produktpalette bestätigt Renault damit die Wichtigkeit der Markenstrategie, die auf zwei sich ergänzenden Technologien – EV und HEV – basiert, und macht Fortschritte bei der Verwirklichung des Ziels, bis 2030 in Europa einen Absatzanteil von 100 Prozent bei elektrifizierten Fahrzeugen zu erreichen. Renault belegt Platz 2 auf dem europäischen Privatkundenmarkt für batterieelektrische Fahrzeuge (BEV) und Platz 2 auf dem Hybridmarkt. Die BEV-Verkäufe sind um 63,2 Prozent auf einem um 34,2 Prozent gewachsenen Markt gestiegen, was insbesondere auf den Erfolg des Renault 5 E-Tech elektrisch zurückzuführen ist, dem meistverkauften Elektrofahrzeug im B-Segment in Europa, während sich der Renault 4 E-Tech elektrisch als Maßstab im elektrischen B-SUV-Segment im Privatkundenbereich etabliert.</w:t>
      </w:r>
    </w:p>
    <w:p w14:paraId="7DFA2EAC" w14:textId="5769BDEF" w:rsidR="00A72C8B" w:rsidRPr="00A72C8B" w:rsidRDefault="00A72C8B" w:rsidP="00A72C8B">
      <w:pPr>
        <w:spacing w:line="280" w:lineRule="atLeast"/>
        <w:jc w:val="both"/>
        <w:rPr>
          <w:rFonts w:eastAsia="Calibri" w:cs="Arial"/>
          <w:sz w:val="22"/>
          <w:szCs w:val="22"/>
          <w:lang w:val="de-AT"/>
        </w:rPr>
      </w:pPr>
      <w:r w:rsidRPr="00A72C8B">
        <w:rPr>
          <w:rFonts w:eastAsia="Calibri" w:cs="Arial"/>
          <w:sz w:val="22"/>
          <w:szCs w:val="22"/>
          <w:lang w:val="de-AT"/>
        </w:rPr>
        <w:t>Renault setzt zudem seine wertorientierte Strategie fort, die der Verkaufsqualität und dem Schutz der Restwerte Priorität einräumt. In Europa</w:t>
      </w:r>
      <w:r w:rsidR="00894D0B">
        <w:rPr>
          <w:rStyle w:val="Funotenzeichen"/>
          <w:rFonts w:eastAsia="Calibri" w:cs="Arial"/>
          <w:sz w:val="22"/>
          <w:szCs w:val="22"/>
          <w:lang w:val="de-AT"/>
        </w:rPr>
        <w:footnoteReference w:id="6"/>
      </w:r>
      <w:r w:rsidRPr="00A72C8B">
        <w:rPr>
          <w:rFonts w:eastAsia="Calibri" w:cs="Arial"/>
          <w:sz w:val="22"/>
          <w:szCs w:val="22"/>
          <w:lang w:val="de-AT"/>
        </w:rPr>
        <w:t xml:space="preserve"> hat die Marke im Privatkundenbereich 0,4 Prozentpunkte Marktanteil hinzugewonnen und gleichzeitig ihr Engagement im Bereich der Kurzzeitmieten reduziert. In Frankreich hat Renault seine Führungsposition ausgebaut und einen Marktanteil von 18,5 Prozent im Privatkundenbereich (+ 1,6 Prozentpunkte) sowie 20,9 Prozent im Flottenmarkt (+ 0,3 Prozentpunkte) erreicht. Fahrzeuge des C- und D-Segments machten 37,4 Prozent des europäischen Absatzes aus und haben zu einer weiteren Verbesserung des Produktmixes beigetragen.</w:t>
      </w:r>
    </w:p>
    <w:p w14:paraId="263F3D8E" w14:textId="37DCEEFE" w:rsidR="00A72C8B" w:rsidRPr="00A72C8B" w:rsidRDefault="00A72C8B" w:rsidP="00A72C8B">
      <w:pPr>
        <w:spacing w:line="280" w:lineRule="atLeast"/>
        <w:jc w:val="both"/>
        <w:rPr>
          <w:rFonts w:eastAsia="Calibri" w:cs="Arial"/>
          <w:sz w:val="22"/>
          <w:szCs w:val="22"/>
          <w:lang w:val="de-AT"/>
        </w:rPr>
      </w:pPr>
      <w:r w:rsidRPr="00A72C8B">
        <w:rPr>
          <w:rFonts w:eastAsia="Calibri" w:cs="Arial"/>
          <w:sz w:val="22"/>
          <w:szCs w:val="22"/>
          <w:lang w:val="de-AT"/>
        </w:rPr>
        <w:t>Auch die leichten Nutzfahrzeuge stärken im Rahmen dieser Strategie die geschäftliche Performance und Rentabilität der Marke. Renault hat in Europa das zweite Halbjahr in Folge ein Absatzwachstum bei leichten Nutzfahrzeugen verzeichnet – ein Plus von 11,7 Prozent in einem um 2,1 Prozent gewachsenen Markt – und damit seine Position als zweitgrößte Marke in Europa gefestigt. Der Renault Master</w:t>
      </w:r>
      <w:r w:rsidR="00D94A5B">
        <w:rPr>
          <w:rStyle w:val="Funotenzeichen"/>
          <w:rFonts w:eastAsia="Calibri" w:cs="Arial"/>
          <w:sz w:val="22"/>
          <w:szCs w:val="22"/>
          <w:lang w:val="de-AT"/>
        </w:rPr>
        <w:footnoteReference w:id="7"/>
      </w:r>
      <w:r w:rsidRPr="00A72C8B">
        <w:rPr>
          <w:rFonts w:eastAsia="Calibri" w:cs="Arial"/>
          <w:sz w:val="22"/>
          <w:szCs w:val="22"/>
          <w:lang w:val="de-AT"/>
        </w:rPr>
        <w:t xml:space="preserve"> ist seit Jahresbeginn dank seines umfassenden Produktangebots und des Erfolgs der Umbaulösung „Converted by Renault“ die Nummer 1 auf dem Markt für große Transporter in Europa. International wurden die Verkäufe durch die Türkei (+ 9,8 Prozent) und durch die Expansion des Renault Master auf neue Märkte, insbesondere in Marokko, vorangetrieben.</w:t>
      </w:r>
    </w:p>
    <w:p w14:paraId="3F58DFF5" w14:textId="52681799" w:rsidR="00A72C8B" w:rsidRPr="00A72C8B" w:rsidRDefault="00A72C8B" w:rsidP="00A72C8B">
      <w:pPr>
        <w:spacing w:line="280" w:lineRule="atLeast"/>
        <w:jc w:val="both"/>
        <w:rPr>
          <w:rFonts w:eastAsia="Calibri" w:cs="Arial"/>
          <w:sz w:val="22"/>
          <w:szCs w:val="22"/>
          <w:lang w:val="de-AT"/>
        </w:rPr>
      </w:pPr>
      <w:r w:rsidRPr="00A72C8B">
        <w:rPr>
          <w:rFonts w:eastAsia="Calibri" w:cs="Arial"/>
          <w:sz w:val="22"/>
          <w:szCs w:val="22"/>
          <w:lang w:val="de-AT"/>
        </w:rPr>
        <w:t>Die Marke Renault baut ihre internationale Präsenz weiter aus und festigt ihre Position als globale Marke. Der Absatz außerhalb Europas stieg um 2,8 Prozent und erreichte fast 296.000 Fahrzeuge. Dieses Wachstum wurde durch starke Ergebnisse in Indien (+ 61,2 Prozent), der Türkei (+ 25,7 Prozent), Marokko (+ 11,8 Prozent), Brasilien (+ 5,3 Prozent) und Mexiko (+ 16,3 Prozent) getragen. Diese Dynamik dürfte sich in den kommenden Monaten weiter fortsetzen, unterstützt durch den Hochlauf des Renault Duster in Indien, die kürzlich erfolgte Markteinführung des Koleos Full Hybrid in Brasilien sowie die beschleunigte Markteinführung des Boreal, die durch die Eröffnung eines zweiten Produktionsstandorts in der Türkei im Juni gestützt wird.</w:t>
      </w:r>
    </w:p>
    <w:p w14:paraId="4F94968A" w14:textId="77777777" w:rsidR="00A72C8B" w:rsidRPr="00A72C8B" w:rsidRDefault="00A72C8B" w:rsidP="00A72C8B">
      <w:pPr>
        <w:spacing w:line="280" w:lineRule="atLeast"/>
        <w:jc w:val="both"/>
        <w:rPr>
          <w:rFonts w:eastAsia="Calibri" w:cs="Arial"/>
          <w:sz w:val="22"/>
          <w:szCs w:val="22"/>
          <w:lang w:val="de-AT"/>
        </w:rPr>
      </w:pPr>
      <w:r w:rsidRPr="00A72C8B">
        <w:rPr>
          <w:rFonts w:eastAsia="Calibri" w:cs="Arial"/>
          <w:sz w:val="22"/>
          <w:szCs w:val="22"/>
          <w:lang w:val="de-AT"/>
        </w:rPr>
        <w:t xml:space="preserve">Aufbauend auf diesen starken Grundlagen in den schnell wachsenden Elektro- und Hybridsegmenten blickt Renault zuversichtlich auf das zweite Halbjahr. In Europa wird sich die Elektrifizierung mit den jüngsten Markteinführungen des Twingo E-Tech elektrisch und des Renault 4 E-Tech elektrisch in der Version „Plein Sud“ sowie durch den Trafic E-Tech elektrisch weiter </w:t>
      </w:r>
      <w:r w:rsidRPr="00A72C8B">
        <w:rPr>
          <w:rFonts w:eastAsia="Calibri" w:cs="Arial"/>
          <w:sz w:val="22"/>
          <w:szCs w:val="22"/>
          <w:lang w:val="de-AT"/>
        </w:rPr>
        <w:lastRenderedPageBreak/>
        <w:t>beschleunigen. Der vollelektrische Transporter ist ein echter Game Changer für den Markt für leichte Nutzfahrzeuge und noch in diesem Jahr bestellbar. Außerhalb Europas wird die Vorstellung des Pick-ups Niagara im September das Wachstum von Renault in Lateinamerika fördern. Im Einklang mit den Zielen von futuREady werden die neuen Modelle neue Wachstumschancen eröffnen.</w:t>
      </w:r>
    </w:p>
    <w:p w14:paraId="1260127D" w14:textId="77777777" w:rsidR="00A72C8B" w:rsidRPr="00A72C8B" w:rsidRDefault="00A72C8B" w:rsidP="00A72C8B">
      <w:pPr>
        <w:spacing w:line="280" w:lineRule="atLeast"/>
        <w:jc w:val="both"/>
        <w:rPr>
          <w:rFonts w:eastAsia="Calibri" w:cs="Arial"/>
          <w:sz w:val="22"/>
          <w:szCs w:val="22"/>
          <w:lang w:val="de-AT"/>
        </w:rPr>
      </w:pPr>
    </w:p>
    <w:p w14:paraId="6958261E" w14:textId="32230553" w:rsidR="00A72C8B" w:rsidRPr="00A72C8B" w:rsidRDefault="00A72C8B" w:rsidP="00A72C8B">
      <w:pPr>
        <w:spacing w:line="280" w:lineRule="atLeast"/>
        <w:jc w:val="both"/>
        <w:rPr>
          <w:rFonts w:eastAsia="Calibri" w:cs="Arial"/>
          <w:b/>
          <w:bCs/>
          <w:sz w:val="22"/>
          <w:szCs w:val="22"/>
          <w:lang w:val="de-AT"/>
        </w:rPr>
      </w:pPr>
      <w:r w:rsidRPr="00A72C8B">
        <w:rPr>
          <w:rFonts w:eastAsia="Calibri" w:cs="Arial"/>
          <w:b/>
          <w:bCs/>
          <w:sz w:val="22"/>
          <w:szCs w:val="22"/>
          <w:lang w:val="de-AT"/>
        </w:rPr>
        <w:t>Dacia: Starkes Geschäftsmodell und solide Grundlagen</w:t>
      </w:r>
    </w:p>
    <w:p w14:paraId="29ACDC9B" w14:textId="6869444D" w:rsidR="00A72C8B" w:rsidRPr="00A72C8B" w:rsidRDefault="00A72C8B" w:rsidP="00A72C8B">
      <w:pPr>
        <w:spacing w:line="280" w:lineRule="atLeast"/>
        <w:jc w:val="both"/>
        <w:rPr>
          <w:rFonts w:eastAsia="Calibri" w:cs="Arial"/>
          <w:sz w:val="22"/>
          <w:szCs w:val="22"/>
          <w:lang w:val="de-AT"/>
        </w:rPr>
      </w:pPr>
      <w:r w:rsidRPr="00A72C8B">
        <w:rPr>
          <w:rFonts w:eastAsia="Calibri" w:cs="Arial"/>
          <w:sz w:val="22"/>
          <w:szCs w:val="22"/>
          <w:lang w:val="de-AT"/>
        </w:rPr>
        <w:t>Vor dem Hintergrund eines starken Absatzwachstums bei Elektrofahrzeugen und der zunehmenden Präsenz chinesischer Marken in Europa hat Dacia im ersten Halbjahr 2026 die Stärke seines Geschäftsmodells und seines Fundaments bestätigt. Im zweiten Quartal verzeichnete die Marke 181.729 Zulassungen und lag damit auf dem Niveau des gleichen Quartals 2025 (- 0,3 Prozent). Im ersten Halbjahr verzeichnete Dacia 327.077 Verkäufe, was einem Rückgang von 8,1 Prozent gegenüber dem ersten Halbjahr 2025 entspricht. In Europa erreichte die Marke einen Pkw-Marktanteil von 3,9 Prozent. Der Auftragsbestand lag Ende Juni auf dem Niveau von 2025, was die starke wirtschaftliche Widerstandsfähigkeit der Marke zum Start in das zweite Halbjahr unterstreicht.</w:t>
      </w:r>
    </w:p>
    <w:p w14:paraId="4CFA0719" w14:textId="5666C057" w:rsidR="00A72C8B" w:rsidRPr="00A72C8B" w:rsidRDefault="00A72C8B" w:rsidP="00A72C8B">
      <w:pPr>
        <w:spacing w:line="280" w:lineRule="atLeast"/>
        <w:jc w:val="both"/>
        <w:rPr>
          <w:rFonts w:eastAsia="Calibri" w:cs="Arial"/>
          <w:sz w:val="22"/>
          <w:szCs w:val="22"/>
          <w:lang w:val="de-AT"/>
        </w:rPr>
      </w:pPr>
      <w:r w:rsidRPr="00A72C8B">
        <w:rPr>
          <w:rFonts w:eastAsia="Calibri" w:cs="Arial"/>
          <w:sz w:val="22"/>
          <w:szCs w:val="22"/>
          <w:lang w:val="de-AT"/>
        </w:rPr>
        <w:t>Dacia stützt sich weiterhin auf starke Grundlagen: Der Dacia Sandero ist nach wie vor das meistverkaufte Auto in Europa über alle Vertriebskanäle hinweg, und die Marke belegt Platz 3 auf dem europäischen Pkw-Privatkundenmarkt. Ihr Geschäftsmodell basiert auf einem hohen Privatkundemix (77 Prozent</w:t>
      </w:r>
      <w:r w:rsidR="00923A8C">
        <w:rPr>
          <w:rStyle w:val="Funotenzeichen"/>
          <w:rFonts w:eastAsia="Calibri" w:cs="Arial"/>
          <w:sz w:val="22"/>
          <w:szCs w:val="22"/>
          <w:lang w:val="de-AT"/>
        </w:rPr>
        <w:footnoteReference w:id="8"/>
      </w:r>
      <w:r w:rsidRPr="00A72C8B">
        <w:rPr>
          <w:rFonts w:eastAsia="Calibri" w:cs="Arial"/>
          <w:sz w:val="22"/>
          <w:szCs w:val="22"/>
          <w:lang w:val="de-AT"/>
        </w:rPr>
        <w:t xml:space="preserve"> aller Verkäufe), einer disziplinierten Nettopreisstrategie und Restwerten, die 13 Punkte über dem Marktdurchschnitt liegen.</w:t>
      </w:r>
    </w:p>
    <w:p w14:paraId="273C26AB" w14:textId="07C00E2C" w:rsidR="00A72C8B" w:rsidRPr="00A72C8B" w:rsidRDefault="00A72C8B" w:rsidP="00A72C8B">
      <w:pPr>
        <w:spacing w:line="280" w:lineRule="atLeast"/>
        <w:jc w:val="both"/>
        <w:rPr>
          <w:rFonts w:eastAsia="Calibri" w:cs="Arial"/>
          <w:sz w:val="22"/>
          <w:szCs w:val="22"/>
          <w:lang w:val="de-AT"/>
        </w:rPr>
      </w:pPr>
      <w:r w:rsidRPr="00A72C8B">
        <w:rPr>
          <w:rFonts w:eastAsia="Calibri" w:cs="Arial"/>
          <w:sz w:val="22"/>
          <w:szCs w:val="22"/>
          <w:lang w:val="de-AT"/>
        </w:rPr>
        <w:t>Die Elektrifizierung gewinnt bei Dacia weiter an Dynamik. Dabei machen Vollhybridantriebe einen wachsenden Anteil an den Bestellungen aus: 37 Prozent beim Jogger, 40 Prozent beim Duster und 68 Prozent beim Bigster. Zudem entfallen 58 Prozent der Bestellungen auf höhere Ausstattungsvarianten – beim Duster liegt dieser Anteil bei 71 Prozent und beim Bigster sogar bei 82 Prozent. Dies verdeutlicht die Fähigkeit der Marke, ihren Produktmix zu verbessern und gleichzeitig ihrer Positionierung als Anbieter mit dem besten Preis-Leistungs-Verhältnis treu zu bleiben.</w:t>
      </w:r>
    </w:p>
    <w:p w14:paraId="49A42964" w14:textId="77777777" w:rsidR="00A72C8B" w:rsidRPr="00A72C8B" w:rsidRDefault="00A72C8B" w:rsidP="00A72C8B">
      <w:pPr>
        <w:spacing w:line="280" w:lineRule="atLeast"/>
        <w:jc w:val="both"/>
        <w:rPr>
          <w:rFonts w:eastAsia="Calibri" w:cs="Arial"/>
          <w:sz w:val="22"/>
          <w:szCs w:val="22"/>
          <w:lang w:val="de-AT"/>
        </w:rPr>
      </w:pPr>
      <w:r w:rsidRPr="00A72C8B">
        <w:rPr>
          <w:rFonts w:eastAsia="Calibri" w:cs="Arial"/>
          <w:sz w:val="22"/>
          <w:szCs w:val="22"/>
          <w:lang w:val="de-AT"/>
        </w:rPr>
        <w:t>Das zweite Halbjahr wird durch den Ausbau des elektrifizierten Angebots von Dacia geprägt sein, beginnend mit der Einführung des Sandero Vollhybrid, gefolgt von der Markteinführung des Striker und der Einführung der in Europa produzierten nächsten Generation des Spring. Die neuen Modelle bereichern die Modellpalette der Marke und werden ihre Transformation unterstützen, sodass sie agil auf sich wandelnde Markttrends reagieren kann.</w:t>
      </w:r>
    </w:p>
    <w:p w14:paraId="39D4AECE" w14:textId="77777777" w:rsidR="00A72C8B" w:rsidRPr="00A72C8B" w:rsidRDefault="00A72C8B" w:rsidP="00A72C8B">
      <w:pPr>
        <w:spacing w:line="280" w:lineRule="atLeast"/>
        <w:jc w:val="both"/>
        <w:rPr>
          <w:rFonts w:eastAsia="Calibri" w:cs="Arial"/>
          <w:sz w:val="22"/>
          <w:szCs w:val="22"/>
          <w:lang w:val="de-AT"/>
        </w:rPr>
      </w:pPr>
    </w:p>
    <w:p w14:paraId="34BD00AD" w14:textId="513BB423" w:rsidR="00A72C8B" w:rsidRPr="00A72C8B" w:rsidRDefault="00A72C8B" w:rsidP="00A72C8B">
      <w:pPr>
        <w:spacing w:line="280" w:lineRule="atLeast"/>
        <w:jc w:val="both"/>
        <w:rPr>
          <w:rFonts w:eastAsia="Calibri" w:cs="Arial"/>
          <w:b/>
          <w:bCs/>
          <w:sz w:val="22"/>
          <w:szCs w:val="22"/>
          <w:lang w:val="de-AT"/>
        </w:rPr>
      </w:pPr>
      <w:r w:rsidRPr="00A72C8B">
        <w:rPr>
          <w:rFonts w:eastAsia="Calibri" w:cs="Arial"/>
          <w:b/>
          <w:bCs/>
          <w:sz w:val="22"/>
          <w:szCs w:val="22"/>
          <w:lang w:val="de-AT"/>
        </w:rPr>
        <w:t>Alpine: Ein Rekord-Halbjahr</w:t>
      </w:r>
    </w:p>
    <w:p w14:paraId="51CFC9FC" w14:textId="77777777" w:rsidR="00A72C8B" w:rsidRPr="00A72C8B" w:rsidRDefault="00A72C8B" w:rsidP="00A72C8B">
      <w:pPr>
        <w:spacing w:line="280" w:lineRule="atLeast"/>
        <w:jc w:val="both"/>
        <w:rPr>
          <w:rFonts w:eastAsia="Calibri" w:cs="Arial"/>
          <w:sz w:val="22"/>
          <w:szCs w:val="22"/>
          <w:lang w:val="de-AT"/>
        </w:rPr>
      </w:pPr>
      <w:r w:rsidRPr="00A72C8B">
        <w:rPr>
          <w:rFonts w:eastAsia="Calibri" w:cs="Arial"/>
          <w:sz w:val="22"/>
          <w:szCs w:val="22"/>
          <w:lang w:val="de-AT"/>
        </w:rPr>
        <w:t xml:space="preserve">Alpine hat im ersten Halbjahr mit weltweit 8.538 verkauften Fahrzeugen ein neues Rekordergebnis erzielt und ein Wachstum von 69,1 Prozent gegenüber dem Vorjahreszeitraum eingefahren. Der Absatz der Marke wurde durch den Erfolg der Alpine A290 getragen: Die Verkaufszahlen des elektrischen Hot Hatch sind im Vergleich zum ersten Halbjahr 2025 um fast 60 Prozent auf 5.890 Einheiten gestiegen. Auch die Alpine A110 behielt ihre starke Dynamik bei und verkaufte sich 1.607 </w:t>
      </w:r>
      <w:r w:rsidRPr="00A72C8B">
        <w:rPr>
          <w:rFonts w:eastAsia="Calibri" w:cs="Arial"/>
          <w:sz w:val="22"/>
          <w:szCs w:val="22"/>
          <w:lang w:val="de-AT"/>
        </w:rPr>
        <w:lastRenderedPageBreak/>
        <w:t>Mal (+ 22,4 Prozent), obwohl die Produktion im Juni eingestellt wurde, um die Einführung der dritten Generation vorzubereiten. Gleichzeitig hat Alpine mit der Markteinführung des Sport Fastbacks Alpine A390 ein neues Marktsegment erschlossen. Von der GT-Version wurden 1.041 Einheiten zugelassen, während die Bestellungen für die GTS-Version nun offen sind.</w:t>
      </w:r>
    </w:p>
    <w:p w14:paraId="2B8499EC" w14:textId="77777777" w:rsidR="00A72C8B" w:rsidRPr="00A72C8B" w:rsidRDefault="00A72C8B" w:rsidP="00A72C8B">
      <w:pPr>
        <w:spacing w:line="280" w:lineRule="atLeast"/>
        <w:jc w:val="both"/>
        <w:rPr>
          <w:rFonts w:eastAsia="Calibri" w:cs="Arial"/>
          <w:sz w:val="22"/>
          <w:szCs w:val="22"/>
          <w:lang w:val="de-AT"/>
        </w:rPr>
      </w:pPr>
    </w:p>
    <w:p w14:paraId="56A365F5" w14:textId="3993AAF5" w:rsidR="00A72C8B" w:rsidRPr="00A72C8B" w:rsidRDefault="00A72C8B" w:rsidP="00A72C8B">
      <w:pPr>
        <w:spacing w:line="280" w:lineRule="atLeast"/>
        <w:jc w:val="both"/>
        <w:rPr>
          <w:rFonts w:eastAsia="Calibri" w:cs="Arial"/>
          <w:sz w:val="22"/>
          <w:szCs w:val="22"/>
          <w:lang w:val="de-AT"/>
        </w:rPr>
      </w:pPr>
      <w:r w:rsidRPr="00A72C8B">
        <w:rPr>
          <w:rFonts w:eastAsia="Calibri" w:cs="Arial"/>
          <w:sz w:val="22"/>
          <w:szCs w:val="22"/>
          <w:lang w:val="de-AT"/>
        </w:rPr>
        <w:t>Außerhalb Frankreichs hat sich das Wachstum von Alpine deutlich beschleunigt, insbesondere im Vereinigten Königreich, wo sich der Absatz auf 1.902 Einheiten versechsfacht hat. Starke Zuwächse wurden auch in Spanien (+ 84 Prozent) und Deutschland (+ 78 Prozent) verzeichnet, was die wachsende Attraktivität der Marke in den wichtigsten europäischen Märkten bestätigt.</w:t>
      </w:r>
    </w:p>
    <w:p w14:paraId="558B589F" w14:textId="77777777" w:rsidR="00A72C8B" w:rsidRPr="00A72C8B" w:rsidRDefault="00A72C8B" w:rsidP="00A72C8B">
      <w:pPr>
        <w:spacing w:line="280" w:lineRule="atLeast"/>
        <w:jc w:val="both"/>
        <w:rPr>
          <w:rFonts w:eastAsia="Calibri" w:cs="Arial"/>
          <w:sz w:val="22"/>
          <w:szCs w:val="22"/>
          <w:lang w:val="de-AT"/>
        </w:rPr>
      </w:pPr>
      <w:r w:rsidRPr="00A72C8B">
        <w:rPr>
          <w:rFonts w:eastAsia="Calibri" w:cs="Arial"/>
          <w:sz w:val="22"/>
          <w:szCs w:val="22"/>
          <w:lang w:val="de-AT"/>
        </w:rPr>
        <w:t>Diese Erfolge werden durch den raschen Ausbau des internationalen Händlernetzes von 169 auf 238 Vertriebsstandorte unterstützt und unterstreichen die zunehmende globale Dynamik der Marke. Sie bekräftigen das Ziel von Alpine, sich als führende Premiummarke für Elektro-Performance-Fahrzeuge zu etablieren und gleichzeitig ihre Kundenbasis sowie ihre Präsenz in neuen Marktsegmenten erfolgreich auszubauen.</w:t>
      </w:r>
    </w:p>
    <w:p w14:paraId="5DD3A5D3" w14:textId="77777777" w:rsidR="00A72C8B" w:rsidRPr="00A72C8B" w:rsidRDefault="00A72C8B" w:rsidP="00A72C8B">
      <w:pPr>
        <w:spacing w:line="280" w:lineRule="atLeast"/>
        <w:jc w:val="both"/>
        <w:rPr>
          <w:rFonts w:eastAsia="Calibri" w:cs="Arial"/>
          <w:sz w:val="22"/>
          <w:szCs w:val="22"/>
          <w:lang w:val="de-AT"/>
        </w:rPr>
      </w:pPr>
    </w:p>
    <w:p w14:paraId="4482B837" w14:textId="6CD9D9E5" w:rsidR="00A72C8B" w:rsidRPr="00A72C8B" w:rsidRDefault="00A72C8B" w:rsidP="00A72C8B">
      <w:pPr>
        <w:spacing w:line="280" w:lineRule="atLeast"/>
        <w:jc w:val="both"/>
        <w:rPr>
          <w:rFonts w:eastAsia="Calibri" w:cs="Arial"/>
          <w:b/>
          <w:bCs/>
          <w:sz w:val="22"/>
          <w:szCs w:val="22"/>
          <w:lang w:val="de-AT"/>
        </w:rPr>
      </w:pPr>
      <w:r w:rsidRPr="00A72C8B">
        <w:rPr>
          <w:rFonts w:eastAsia="Calibri" w:cs="Arial"/>
          <w:b/>
          <w:bCs/>
          <w:sz w:val="22"/>
          <w:szCs w:val="22"/>
          <w:lang w:val="de-AT"/>
        </w:rPr>
        <w:t>Globale Verkäufe der Renault Group nach Marken</w:t>
      </w:r>
    </w:p>
    <w:p w14:paraId="65E1FD88" w14:textId="77777777" w:rsidR="00A72C8B" w:rsidRPr="00A72C8B" w:rsidRDefault="00A72C8B" w:rsidP="00A72C8B">
      <w:pPr>
        <w:spacing w:line="280" w:lineRule="atLeast"/>
        <w:jc w:val="both"/>
        <w:rPr>
          <w:rFonts w:eastAsia="Calibri" w:cs="Arial"/>
          <w:sz w:val="22"/>
          <w:szCs w:val="22"/>
          <w:lang w:val="de-AT"/>
        </w:rPr>
      </w:pPr>
    </w:p>
    <w:tbl>
      <w:tblPr>
        <w:tblStyle w:val="Tabellenraster"/>
        <w:tblW w:w="0" w:type="auto"/>
        <w:tblLook w:val="04A0" w:firstRow="1" w:lastRow="0" w:firstColumn="1" w:lastColumn="0" w:noHBand="0" w:noVBand="1"/>
      </w:tblPr>
      <w:tblGrid>
        <w:gridCol w:w="2122"/>
        <w:gridCol w:w="1984"/>
        <w:gridCol w:w="2693"/>
      </w:tblGrid>
      <w:tr w:rsidR="00A72C8B" w:rsidRPr="00A72C8B" w14:paraId="05808BC0" w14:textId="77777777" w:rsidTr="00A72C8B">
        <w:trPr>
          <w:trHeight w:val="714"/>
        </w:trPr>
        <w:tc>
          <w:tcPr>
            <w:tcW w:w="2122" w:type="dxa"/>
          </w:tcPr>
          <w:p w14:paraId="29C8254C" w14:textId="77777777" w:rsidR="00A72C8B" w:rsidRPr="00A72C8B" w:rsidRDefault="00A72C8B" w:rsidP="00D31980">
            <w:pPr>
              <w:pStyle w:val="4Lauftext"/>
              <w:rPr>
                <w:rFonts w:asciiTheme="minorHAnsi" w:hAnsiTheme="minorHAnsi"/>
                <w:color w:val="auto"/>
                <w:sz w:val="22"/>
                <w:szCs w:val="22"/>
                <w:lang w:val="de-AT"/>
              </w:rPr>
            </w:pPr>
          </w:p>
        </w:tc>
        <w:tc>
          <w:tcPr>
            <w:tcW w:w="1984" w:type="dxa"/>
          </w:tcPr>
          <w:p w14:paraId="7E4B94BF"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 Halbjahr 2026</w:t>
            </w:r>
          </w:p>
        </w:tc>
        <w:tc>
          <w:tcPr>
            <w:tcW w:w="2693" w:type="dxa"/>
          </w:tcPr>
          <w:p w14:paraId="34964FCF"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 xml:space="preserve">Veränderung ggü. Vorjahreszeitraum in % </w:t>
            </w:r>
          </w:p>
        </w:tc>
      </w:tr>
      <w:tr w:rsidR="00A72C8B" w:rsidRPr="00A72C8B" w14:paraId="6286E3DD" w14:textId="77777777" w:rsidTr="00A72C8B">
        <w:tc>
          <w:tcPr>
            <w:tcW w:w="2122" w:type="dxa"/>
          </w:tcPr>
          <w:p w14:paraId="2F7DE62B" w14:textId="24F7C63E"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Renault</w:t>
            </w:r>
            <w:r w:rsidR="00153F64">
              <w:rPr>
                <w:rStyle w:val="Funotenzeichen"/>
                <w:rFonts w:asciiTheme="minorHAnsi" w:hAnsiTheme="minorHAnsi"/>
                <w:color w:val="auto"/>
                <w:sz w:val="22"/>
                <w:szCs w:val="22"/>
                <w:lang w:val="de-AT"/>
              </w:rPr>
              <w:footnoteReference w:id="9"/>
            </w:r>
          </w:p>
        </w:tc>
        <w:tc>
          <w:tcPr>
            <w:tcW w:w="1984" w:type="dxa"/>
          </w:tcPr>
          <w:p w14:paraId="0BF3D9EA"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829.518</w:t>
            </w:r>
          </w:p>
        </w:tc>
        <w:tc>
          <w:tcPr>
            <w:tcW w:w="2693" w:type="dxa"/>
          </w:tcPr>
          <w:p w14:paraId="24FB94C4"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 xml:space="preserve">+ 2,6 </w:t>
            </w:r>
          </w:p>
        </w:tc>
      </w:tr>
      <w:tr w:rsidR="00A72C8B" w:rsidRPr="00A72C8B" w14:paraId="5C208591" w14:textId="77777777" w:rsidTr="00A72C8B">
        <w:tc>
          <w:tcPr>
            <w:tcW w:w="2122" w:type="dxa"/>
          </w:tcPr>
          <w:p w14:paraId="6BE08C1E"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Pkw</w:t>
            </w:r>
          </w:p>
        </w:tc>
        <w:tc>
          <w:tcPr>
            <w:tcW w:w="1984" w:type="dxa"/>
          </w:tcPr>
          <w:p w14:paraId="206C5E40"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656.886</w:t>
            </w:r>
          </w:p>
        </w:tc>
        <w:tc>
          <w:tcPr>
            <w:tcW w:w="2693" w:type="dxa"/>
          </w:tcPr>
          <w:p w14:paraId="786880C2"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+ 2,2</w:t>
            </w:r>
          </w:p>
        </w:tc>
      </w:tr>
      <w:tr w:rsidR="00A72C8B" w:rsidRPr="00A72C8B" w14:paraId="66BCD72D" w14:textId="77777777" w:rsidTr="00A72C8B">
        <w:tc>
          <w:tcPr>
            <w:tcW w:w="2122" w:type="dxa"/>
          </w:tcPr>
          <w:p w14:paraId="66B0E583"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LVC</w:t>
            </w:r>
          </w:p>
        </w:tc>
        <w:tc>
          <w:tcPr>
            <w:tcW w:w="1984" w:type="dxa"/>
          </w:tcPr>
          <w:p w14:paraId="2B61CAA0"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172.632</w:t>
            </w:r>
          </w:p>
        </w:tc>
        <w:tc>
          <w:tcPr>
            <w:tcW w:w="2693" w:type="dxa"/>
          </w:tcPr>
          <w:p w14:paraId="61A73583"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+ 4,1</w:t>
            </w:r>
          </w:p>
        </w:tc>
      </w:tr>
      <w:tr w:rsidR="00A72C8B" w:rsidRPr="00A72C8B" w14:paraId="434C7CFA" w14:textId="77777777" w:rsidTr="00A72C8B">
        <w:tc>
          <w:tcPr>
            <w:tcW w:w="2122" w:type="dxa"/>
          </w:tcPr>
          <w:p w14:paraId="7597CB76"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Dacia</w:t>
            </w:r>
          </w:p>
        </w:tc>
        <w:tc>
          <w:tcPr>
            <w:tcW w:w="1984" w:type="dxa"/>
          </w:tcPr>
          <w:p w14:paraId="5B656035"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327.077</w:t>
            </w:r>
          </w:p>
        </w:tc>
        <w:tc>
          <w:tcPr>
            <w:tcW w:w="2693" w:type="dxa"/>
          </w:tcPr>
          <w:p w14:paraId="5B28B249"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- 8,1</w:t>
            </w:r>
          </w:p>
        </w:tc>
      </w:tr>
      <w:tr w:rsidR="00A72C8B" w:rsidRPr="00A72C8B" w14:paraId="2851113E" w14:textId="77777777" w:rsidTr="00A72C8B">
        <w:tc>
          <w:tcPr>
            <w:tcW w:w="2122" w:type="dxa"/>
          </w:tcPr>
          <w:p w14:paraId="68635038"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Pkw</w:t>
            </w:r>
          </w:p>
        </w:tc>
        <w:tc>
          <w:tcPr>
            <w:tcW w:w="1984" w:type="dxa"/>
          </w:tcPr>
          <w:p w14:paraId="45096689"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324.835</w:t>
            </w:r>
          </w:p>
        </w:tc>
        <w:tc>
          <w:tcPr>
            <w:tcW w:w="2693" w:type="dxa"/>
          </w:tcPr>
          <w:p w14:paraId="14AF68B8"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- 8,1</w:t>
            </w:r>
          </w:p>
        </w:tc>
      </w:tr>
      <w:tr w:rsidR="00A72C8B" w:rsidRPr="00A72C8B" w14:paraId="4D04CD1C" w14:textId="77777777" w:rsidTr="00A72C8B">
        <w:tc>
          <w:tcPr>
            <w:tcW w:w="2122" w:type="dxa"/>
          </w:tcPr>
          <w:p w14:paraId="490F4C6B"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LCV</w:t>
            </w:r>
          </w:p>
        </w:tc>
        <w:tc>
          <w:tcPr>
            <w:tcW w:w="1984" w:type="dxa"/>
          </w:tcPr>
          <w:p w14:paraId="6AF376FD"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2.242</w:t>
            </w:r>
          </w:p>
        </w:tc>
        <w:tc>
          <w:tcPr>
            <w:tcW w:w="2693" w:type="dxa"/>
          </w:tcPr>
          <w:p w14:paraId="1928CB1D"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- 9,0</w:t>
            </w:r>
          </w:p>
        </w:tc>
      </w:tr>
      <w:tr w:rsidR="00A72C8B" w:rsidRPr="00A72C8B" w14:paraId="5263CF7A" w14:textId="77777777" w:rsidTr="00A72C8B">
        <w:tc>
          <w:tcPr>
            <w:tcW w:w="2122" w:type="dxa"/>
          </w:tcPr>
          <w:p w14:paraId="4C3D8024"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Alpine</w:t>
            </w:r>
          </w:p>
        </w:tc>
        <w:tc>
          <w:tcPr>
            <w:tcW w:w="1984" w:type="dxa"/>
          </w:tcPr>
          <w:p w14:paraId="6E69BE2A"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8.538</w:t>
            </w:r>
          </w:p>
        </w:tc>
        <w:tc>
          <w:tcPr>
            <w:tcW w:w="2693" w:type="dxa"/>
          </w:tcPr>
          <w:p w14:paraId="69B15055"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+ 69,1</w:t>
            </w:r>
          </w:p>
        </w:tc>
      </w:tr>
      <w:tr w:rsidR="00A72C8B" w:rsidRPr="00A72C8B" w14:paraId="048D1BA7" w14:textId="77777777" w:rsidTr="00A72C8B">
        <w:tc>
          <w:tcPr>
            <w:tcW w:w="2122" w:type="dxa"/>
          </w:tcPr>
          <w:p w14:paraId="5A1B6C29"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Renault Group</w:t>
            </w:r>
          </w:p>
        </w:tc>
        <w:tc>
          <w:tcPr>
            <w:tcW w:w="1984" w:type="dxa"/>
          </w:tcPr>
          <w:p w14:paraId="69114FDC"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1.165.133</w:t>
            </w:r>
          </w:p>
        </w:tc>
        <w:tc>
          <w:tcPr>
            <w:tcW w:w="2693" w:type="dxa"/>
          </w:tcPr>
          <w:p w14:paraId="5831AB7F"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- 0,4</w:t>
            </w:r>
          </w:p>
        </w:tc>
      </w:tr>
    </w:tbl>
    <w:p w14:paraId="346A9A74" w14:textId="77777777" w:rsidR="00A72C8B" w:rsidRPr="00A72C8B" w:rsidRDefault="00A72C8B" w:rsidP="00A72C8B">
      <w:pPr>
        <w:pStyle w:val="4Lauftext"/>
        <w:rPr>
          <w:rFonts w:asciiTheme="minorHAnsi" w:hAnsiTheme="minorHAnsi"/>
          <w:color w:val="auto"/>
          <w:sz w:val="22"/>
          <w:szCs w:val="22"/>
          <w:lang w:val="de-AT"/>
        </w:rPr>
      </w:pPr>
    </w:p>
    <w:p w14:paraId="78B4243C" w14:textId="7B1967DE" w:rsidR="00A72C8B" w:rsidRPr="00A72C8B" w:rsidRDefault="00A72C8B" w:rsidP="00A72C8B">
      <w:pPr>
        <w:pStyle w:val="4Lauftext"/>
        <w:rPr>
          <w:rFonts w:asciiTheme="minorHAnsi" w:hAnsiTheme="minorHAnsi"/>
          <w:b/>
          <w:bCs/>
          <w:color w:val="auto"/>
          <w:sz w:val="22"/>
          <w:szCs w:val="22"/>
          <w:lang w:val="de-AT"/>
        </w:rPr>
      </w:pPr>
      <w:r w:rsidRPr="00A72C8B">
        <w:rPr>
          <w:rFonts w:asciiTheme="minorHAnsi" w:hAnsiTheme="minorHAnsi"/>
          <w:b/>
          <w:bCs/>
          <w:color w:val="auto"/>
          <w:sz w:val="22"/>
          <w:szCs w:val="22"/>
          <w:lang w:val="de-AT"/>
        </w:rPr>
        <w:t>Renault Group Top 15 Märkte im ersten Halbjahr 2026</w:t>
      </w:r>
    </w:p>
    <w:tbl>
      <w:tblPr>
        <w:tblStyle w:val="Tabellenraster"/>
        <w:tblW w:w="0" w:type="auto"/>
        <w:tblLook w:val="04A0" w:firstRow="1" w:lastRow="0" w:firstColumn="1" w:lastColumn="0" w:noHBand="0" w:noVBand="1"/>
      </w:tblPr>
      <w:tblGrid>
        <w:gridCol w:w="988"/>
        <w:gridCol w:w="2693"/>
        <w:gridCol w:w="1150"/>
        <w:gridCol w:w="2110"/>
      </w:tblGrid>
      <w:tr w:rsidR="00A72C8B" w:rsidRPr="00A72C8B" w14:paraId="259AE09E" w14:textId="77777777" w:rsidTr="00A72C8B">
        <w:tc>
          <w:tcPr>
            <w:tcW w:w="988" w:type="dxa"/>
          </w:tcPr>
          <w:p w14:paraId="31DF18AB"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Rang</w:t>
            </w:r>
          </w:p>
        </w:tc>
        <w:tc>
          <w:tcPr>
            <w:tcW w:w="2693" w:type="dxa"/>
          </w:tcPr>
          <w:p w14:paraId="56C23029"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Land</w:t>
            </w:r>
          </w:p>
        </w:tc>
        <w:tc>
          <w:tcPr>
            <w:tcW w:w="1150" w:type="dxa"/>
          </w:tcPr>
          <w:p w14:paraId="72BE7F24"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Volumen</w:t>
            </w:r>
          </w:p>
        </w:tc>
        <w:tc>
          <w:tcPr>
            <w:tcW w:w="2110" w:type="dxa"/>
          </w:tcPr>
          <w:p w14:paraId="112077A6"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Marktanteil (in %)</w:t>
            </w:r>
          </w:p>
        </w:tc>
      </w:tr>
      <w:tr w:rsidR="00A72C8B" w:rsidRPr="00A72C8B" w14:paraId="008A77E6" w14:textId="77777777" w:rsidTr="00A72C8B">
        <w:tc>
          <w:tcPr>
            <w:tcW w:w="988" w:type="dxa"/>
          </w:tcPr>
          <w:p w14:paraId="41A7C18C"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w:t>
            </w:r>
          </w:p>
        </w:tc>
        <w:tc>
          <w:tcPr>
            <w:tcW w:w="2693" w:type="dxa"/>
          </w:tcPr>
          <w:p w14:paraId="5BB901E2"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Frankreich</w:t>
            </w:r>
          </w:p>
        </w:tc>
        <w:tc>
          <w:tcPr>
            <w:tcW w:w="1150" w:type="dxa"/>
          </w:tcPr>
          <w:p w14:paraId="638A15C3"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279.436</w:t>
            </w:r>
          </w:p>
        </w:tc>
        <w:tc>
          <w:tcPr>
            <w:tcW w:w="2110" w:type="dxa"/>
          </w:tcPr>
          <w:p w14:paraId="4371D1CD"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26,9</w:t>
            </w:r>
          </w:p>
        </w:tc>
      </w:tr>
      <w:tr w:rsidR="00A72C8B" w:rsidRPr="00A72C8B" w14:paraId="53FBFBAD" w14:textId="77777777" w:rsidTr="00A72C8B">
        <w:tc>
          <w:tcPr>
            <w:tcW w:w="988" w:type="dxa"/>
          </w:tcPr>
          <w:p w14:paraId="5B265E89"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2.</w:t>
            </w:r>
          </w:p>
        </w:tc>
        <w:tc>
          <w:tcPr>
            <w:tcW w:w="2693" w:type="dxa"/>
          </w:tcPr>
          <w:p w14:paraId="6A059F82"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Italien</w:t>
            </w:r>
          </w:p>
        </w:tc>
        <w:tc>
          <w:tcPr>
            <w:tcW w:w="1150" w:type="dxa"/>
          </w:tcPr>
          <w:p w14:paraId="74C53F8D"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101.928</w:t>
            </w:r>
          </w:p>
        </w:tc>
        <w:tc>
          <w:tcPr>
            <w:tcW w:w="2110" w:type="dxa"/>
          </w:tcPr>
          <w:p w14:paraId="4E23F1B1"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9,9</w:t>
            </w:r>
          </w:p>
        </w:tc>
      </w:tr>
      <w:tr w:rsidR="00A72C8B" w:rsidRPr="00A72C8B" w14:paraId="4FB962FF" w14:textId="77777777" w:rsidTr="00A72C8B">
        <w:tc>
          <w:tcPr>
            <w:tcW w:w="988" w:type="dxa"/>
          </w:tcPr>
          <w:p w14:paraId="04F2F6AA"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3.</w:t>
            </w:r>
          </w:p>
        </w:tc>
        <w:tc>
          <w:tcPr>
            <w:tcW w:w="2693" w:type="dxa"/>
          </w:tcPr>
          <w:p w14:paraId="77ED90ED"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Spanien</w:t>
            </w:r>
          </w:p>
        </w:tc>
        <w:tc>
          <w:tcPr>
            <w:tcW w:w="1150" w:type="dxa"/>
          </w:tcPr>
          <w:p w14:paraId="6FDDC4A3"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84.472</w:t>
            </w:r>
          </w:p>
        </w:tc>
        <w:tc>
          <w:tcPr>
            <w:tcW w:w="2110" w:type="dxa"/>
          </w:tcPr>
          <w:p w14:paraId="29CD9AD3"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11,3</w:t>
            </w:r>
          </w:p>
        </w:tc>
      </w:tr>
      <w:tr w:rsidR="00A72C8B" w:rsidRPr="00A72C8B" w14:paraId="6DE9F102" w14:textId="77777777" w:rsidTr="00A72C8B">
        <w:tc>
          <w:tcPr>
            <w:tcW w:w="988" w:type="dxa"/>
          </w:tcPr>
          <w:p w14:paraId="1617C261"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4.</w:t>
            </w:r>
          </w:p>
        </w:tc>
        <w:tc>
          <w:tcPr>
            <w:tcW w:w="2693" w:type="dxa"/>
          </w:tcPr>
          <w:p w14:paraId="2888D2BD"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Türkei</w:t>
            </w:r>
          </w:p>
        </w:tc>
        <w:tc>
          <w:tcPr>
            <w:tcW w:w="1150" w:type="dxa"/>
          </w:tcPr>
          <w:p w14:paraId="24096BC9"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80.361</w:t>
            </w:r>
          </w:p>
        </w:tc>
        <w:tc>
          <w:tcPr>
            <w:tcW w:w="2110" w:type="dxa"/>
          </w:tcPr>
          <w:p w14:paraId="1878D0AB"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14,4</w:t>
            </w:r>
          </w:p>
        </w:tc>
      </w:tr>
      <w:tr w:rsidR="00A72C8B" w:rsidRPr="00A72C8B" w14:paraId="0FD31E1C" w14:textId="77777777" w:rsidTr="00A72C8B">
        <w:tc>
          <w:tcPr>
            <w:tcW w:w="988" w:type="dxa"/>
          </w:tcPr>
          <w:p w14:paraId="42CFBF1B"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5.</w:t>
            </w:r>
          </w:p>
        </w:tc>
        <w:tc>
          <w:tcPr>
            <w:tcW w:w="2693" w:type="dxa"/>
          </w:tcPr>
          <w:p w14:paraId="36E33F82"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Deutschland</w:t>
            </w:r>
          </w:p>
        </w:tc>
        <w:tc>
          <w:tcPr>
            <w:tcW w:w="1150" w:type="dxa"/>
          </w:tcPr>
          <w:p w14:paraId="470829C1"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76.057</w:t>
            </w:r>
          </w:p>
        </w:tc>
        <w:tc>
          <w:tcPr>
            <w:tcW w:w="2110" w:type="dxa"/>
          </w:tcPr>
          <w:p w14:paraId="1F36AE8D"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4,7</w:t>
            </w:r>
          </w:p>
        </w:tc>
      </w:tr>
      <w:tr w:rsidR="00A72C8B" w:rsidRPr="00A72C8B" w14:paraId="77B8017C" w14:textId="77777777" w:rsidTr="00A72C8B">
        <w:tc>
          <w:tcPr>
            <w:tcW w:w="988" w:type="dxa"/>
          </w:tcPr>
          <w:p w14:paraId="3136C534"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6.</w:t>
            </w:r>
          </w:p>
        </w:tc>
        <w:tc>
          <w:tcPr>
            <w:tcW w:w="2693" w:type="dxa"/>
          </w:tcPr>
          <w:p w14:paraId="1D383C1A"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Vereinigtes Königreich</w:t>
            </w:r>
          </w:p>
        </w:tc>
        <w:tc>
          <w:tcPr>
            <w:tcW w:w="1150" w:type="dxa"/>
          </w:tcPr>
          <w:p w14:paraId="11666D9E"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69.077</w:t>
            </w:r>
          </w:p>
        </w:tc>
        <w:tc>
          <w:tcPr>
            <w:tcW w:w="2110" w:type="dxa"/>
          </w:tcPr>
          <w:p w14:paraId="2187F468"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5,3</w:t>
            </w:r>
          </w:p>
        </w:tc>
      </w:tr>
      <w:tr w:rsidR="00A72C8B" w:rsidRPr="00A72C8B" w14:paraId="2595A3EC" w14:textId="77777777" w:rsidTr="00A72C8B">
        <w:tc>
          <w:tcPr>
            <w:tcW w:w="988" w:type="dxa"/>
          </w:tcPr>
          <w:p w14:paraId="691DEBBA"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7.</w:t>
            </w:r>
          </w:p>
        </w:tc>
        <w:tc>
          <w:tcPr>
            <w:tcW w:w="2693" w:type="dxa"/>
          </w:tcPr>
          <w:p w14:paraId="3BE93E2C"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Brasilien</w:t>
            </w:r>
          </w:p>
        </w:tc>
        <w:tc>
          <w:tcPr>
            <w:tcW w:w="1150" w:type="dxa"/>
          </w:tcPr>
          <w:p w14:paraId="7E0304A2"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63.861</w:t>
            </w:r>
          </w:p>
        </w:tc>
        <w:tc>
          <w:tcPr>
            <w:tcW w:w="2110" w:type="dxa"/>
          </w:tcPr>
          <w:p w14:paraId="54D5B535"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4,7</w:t>
            </w:r>
          </w:p>
        </w:tc>
      </w:tr>
      <w:tr w:rsidR="00A72C8B" w:rsidRPr="00A72C8B" w14:paraId="294DCD5D" w14:textId="77777777" w:rsidTr="00A72C8B">
        <w:tc>
          <w:tcPr>
            <w:tcW w:w="988" w:type="dxa"/>
          </w:tcPr>
          <w:p w14:paraId="78BE5D43"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8.</w:t>
            </w:r>
          </w:p>
        </w:tc>
        <w:tc>
          <w:tcPr>
            <w:tcW w:w="2693" w:type="dxa"/>
          </w:tcPr>
          <w:p w14:paraId="3A0CCCF3"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Marokko</w:t>
            </w:r>
          </w:p>
        </w:tc>
        <w:tc>
          <w:tcPr>
            <w:tcW w:w="1150" w:type="dxa"/>
          </w:tcPr>
          <w:p w14:paraId="181F58A0"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49.821</w:t>
            </w:r>
          </w:p>
        </w:tc>
        <w:tc>
          <w:tcPr>
            <w:tcW w:w="2110" w:type="dxa"/>
          </w:tcPr>
          <w:p w14:paraId="0597BD82"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37,8</w:t>
            </w:r>
          </w:p>
        </w:tc>
      </w:tr>
      <w:tr w:rsidR="00A72C8B" w:rsidRPr="00A72C8B" w14:paraId="0E0CC58F" w14:textId="77777777" w:rsidTr="00A72C8B">
        <w:tc>
          <w:tcPr>
            <w:tcW w:w="988" w:type="dxa"/>
          </w:tcPr>
          <w:p w14:paraId="28CC37E9"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9.</w:t>
            </w:r>
          </w:p>
        </w:tc>
        <w:tc>
          <w:tcPr>
            <w:tcW w:w="2693" w:type="dxa"/>
          </w:tcPr>
          <w:p w14:paraId="3D89B84A"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Belgien + Luxemburg</w:t>
            </w:r>
          </w:p>
        </w:tc>
        <w:tc>
          <w:tcPr>
            <w:tcW w:w="1150" w:type="dxa"/>
          </w:tcPr>
          <w:p w14:paraId="676FD622"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35.010</w:t>
            </w:r>
          </w:p>
        </w:tc>
        <w:tc>
          <w:tcPr>
            <w:tcW w:w="2110" w:type="dxa"/>
          </w:tcPr>
          <w:p w14:paraId="4876BBBB"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11,8</w:t>
            </w:r>
          </w:p>
        </w:tc>
      </w:tr>
      <w:tr w:rsidR="00A72C8B" w:rsidRPr="00A72C8B" w14:paraId="4E8584B0" w14:textId="77777777" w:rsidTr="00A72C8B">
        <w:tc>
          <w:tcPr>
            <w:tcW w:w="988" w:type="dxa"/>
          </w:tcPr>
          <w:p w14:paraId="1B03C383"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10.</w:t>
            </w:r>
          </w:p>
        </w:tc>
        <w:tc>
          <w:tcPr>
            <w:tcW w:w="2693" w:type="dxa"/>
          </w:tcPr>
          <w:p w14:paraId="7A7033C8"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Polen</w:t>
            </w:r>
          </w:p>
        </w:tc>
        <w:tc>
          <w:tcPr>
            <w:tcW w:w="1150" w:type="dxa"/>
          </w:tcPr>
          <w:p w14:paraId="3D7F6C87"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28.213</w:t>
            </w:r>
          </w:p>
        </w:tc>
        <w:tc>
          <w:tcPr>
            <w:tcW w:w="2110" w:type="dxa"/>
          </w:tcPr>
          <w:p w14:paraId="5C734E09"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8,0</w:t>
            </w:r>
          </w:p>
        </w:tc>
      </w:tr>
      <w:tr w:rsidR="00A72C8B" w:rsidRPr="00A72C8B" w14:paraId="19AFE7B2" w14:textId="77777777" w:rsidTr="00A72C8B">
        <w:tc>
          <w:tcPr>
            <w:tcW w:w="988" w:type="dxa"/>
          </w:tcPr>
          <w:p w14:paraId="73403079"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11.</w:t>
            </w:r>
          </w:p>
        </w:tc>
        <w:tc>
          <w:tcPr>
            <w:tcW w:w="2693" w:type="dxa"/>
          </w:tcPr>
          <w:p w14:paraId="00907850"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Indien</w:t>
            </w:r>
          </w:p>
        </w:tc>
        <w:tc>
          <w:tcPr>
            <w:tcW w:w="1150" w:type="dxa"/>
          </w:tcPr>
          <w:p w14:paraId="41644D55"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25.845</w:t>
            </w:r>
          </w:p>
        </w:tc>
        <w:tc>
          <w:tcPr>
            <w:tcW w:w="2110" w:type="dxa"/>
          </w:tcPr>
          <w:p w14:paraId="3FF79F87"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0,9</w:t>
            </w:r>
          </w:p>
        </w:tc>
      </w:tr>
      <w:tr w:rsidR="00A72C8B" w:rsidRPr="00A72C8B" w14:paraId="1195EEA5" w14:textId="77777777" w:rsidTr="00A72C8B">
        <w:tc>
          <w:tcPr>
            <w:tcW w:w="988" w:type="dxa"/>
          </w:tcPr>
          <w:p w14:paraId="0C584F7D"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12.</w:t>
            </w:r>
          </w:p>
        </w:tc>
        <w:tc>
          <w:tcPr>
            <w:tcW w:w="2693" w:type="dxa"/>
          </w:tcPr>
          <w:p w14:paraId="32EE2E40"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Südkorea</w:t>
            </w:r>
          </w:p>
        </w:tc>
        <w:tc>
          <w:tcPr>
            <w:tcW w:w="1150" w:type="dxa"/>
          </w:tcPr>
          <w:p w14:paraId="76711DCB"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21.187</w:t>
            </w:r>
          </w:p>
        </w:tc>
        <w:tc>
          <w:tcPr>
            <w:tcW w:w="2110" w:type="dxa"/>
          </w:tcPr>
          <w:p w14:paraId="6C90FF10"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2,5</w:t>
            </w:r>
          </w:p>
        </w:tc>
      </w:tr>
      <w:tr w:rsidR="00A72C8B" w:rsidRPr="00A72C8B" w14:paraId="729E1602" w14:textId="77777777" w:rsidTr="00A72C8B">
        <w:tc>
          <w:tcPr>
            <w:tcW w:w="988" w:type="dxa"/>
          </w:tcPr>
          <w:p w14:paraId="3FF0DDB9"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13.</w:t>
            </w:r>
          </w:p>
        </w:tc>
        <w:tc>
          <w:tcPr>
            <w:tcW w:w="2693" w:type="dxa"/>
          </w:tcPr>
          <w:p w14:paraId="1676DB60"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Argentinien</w:t>
            </w:r>
          </w:p>
        </w:tc>
        <w:tc>
          <w:tcPr>
            <w:tcW w:w="1150" w:type="dxa"/>
          </w:tcPr>
          <w:p w14:paraId="68CAAB31"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20.489</w:t>
            </w:r>
          </w:p>
        </w:tc>
        <w:tc>
          <w:tcPr>
            <w:tcW w:w="2110" w:type="dxa"/>
          </w:tcPr>
          <w:p w14:paraId="42167548"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7,4</w:t>
            </w:r>
          </w:p>
        </w:tc>
      </w:tr>
      <w:tr w:rsidR="00A72C8B" w:rsidRPr="00A72C8B" w14:paraId="77F5D445" w14:textId="77777777" w:rsidTr="00A72C8B">
        <w:tc>
          <w:tcPr>
            <w:tcW w:w="988" w:type="dxa"/>
          </w:tcPr>
          <w:p w14:paraId="35BF362D"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14.</w:t>
            </w:r>
          </w:p>
        </w:tc>
        <w:tc>
          <w:tcPr>
            <w:tcW w:w="2693" w:type="dxa"/>
          </w:tcPr>
          <w:p w14:paraId="038E221C"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Portugal</w:t>
            </w:r>
          </w:p>
        </w:tc>
        <w:tc>
          <w:tcPr>
            <w:tcW w:w="1150" w:type="dxa"/>
          </w:tcPr>
          <w:p w14:paraId="7EBF43C4"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18.937</w:t>
            </w:r>
          </w:p>
        </w:tc>
        <w:tc>
          <w:tcPr>
            <w:tcW w:w="2110" w:type="dxa"/>
          </w:tcPr>
          <w:p w14:paraId="0A97ADDE"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12,3</w:t>
            </w:r>
          </w:p>
        </w:tc>
      </w:tr>
      <w:tr w:rsidR="00A72C8B" w:rsidRPr="00A72C8B" w14:paraId="160909B4" w14:textId="77777777" w:rsidTr="00A72C8B">
        <w:tc>
          <w:tcPr>
            <w:tcW w:w="988" w:type="dxa"/>
          </w:tcPr>
          <w:p w14:paraId="2CDD44DE"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15.</w:t>
            </w:r>
          </w:p>
        </w:tc>
        <w:tc>
          <w:tcPr>
            <w:tcW w:w="2693" w:type="dxa"/>
          </w:tcPr>
          <w:p w14:paraId="3FA7BE68"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Mexiko</w:t>
            </w:r>
          </w:p>
        </w:tc>
        <w:tc>
          <w:tcPr>
            <w:tcW w:w="1150" w:type="dxa"/>
          </w:tcPr>
          <w:p w14:paraId="214079BE"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17.316</w:t>
            </w:r>
          </w:p>
        </w:tc>
        <w:tc>
          <w:tcPr>
            <w:tcW w:w="2110" w:type="dxa"/>
          </w:tcPr>
          <w:p w14:paraId="418B3F52" w14:textId="77777777" w:rsidR="00A72C8B" w:rsidRPr="00A72C8B" w:rsidRDefault="00A72C8B" w:rsidP="00D31980">
            <w:pPr>
              <w:pStyle w:val="4Lauftext"/>
              <w:rPr>
                <w:rFonts w:asciiTheme="minorHAnsi" w:hAnsiTheme="minorHAnsi"/>
                <w:color w:val="auto"/>
                <w:sz w:val="22"/>
                <w:szCs w:val="22"/>
                <w:lang w:val="de-AT"/>
              </w:rPr>
            </w:pPr>
            <w:r w:rsidRPr="00A72C8B">
              <w:rPr>
                <w:rFonts w:asciiTheme="minorHAnsi" w:hAnsiTheme="minorHAnsi"/>
                <w:color w:val="auto"/>
                <w:sz w:val="22"/>
                <w:szCs w:val="22"/>
                <w:lang w:val="de-AT"/>
              </w:rPr>
              <w:t>2,3</w:t>
            </w:r>
          </w:p>
        </w:tc>
      </w:tr>
    </w:tbl>
    <w:p w14:paraId="73C5FADB" w14:textId="77777777" w:rsidR="00A72C8B" w:rsidRPr="00A72C8B" w:rsidRDefault="00A72C8B" w:rsidP="00A72C8B">
      <w:pPr>
        <w:pStyle w:val="4Lauftext"/>
        <w:rPr>
          <w:rFonts w:asciiTheme="minorHAnsi" w:hAnsiTheme="minorHAnsi"/>
          <w:color w:val="auto"/>
          <w:sz w:val="22"/>
          <w:szCs w:val="22"/>
          <w:lang w:val="de-AT"/>
        </w:rPr>
      </w:pPr>
    </w:p>
    <w:p w14:paraId="45A76C44" w14:textId="77777777" w:rsidR="00432D4B" w:rsidRPr="00A72C8B" w:rsidRDefault="00432D4B" w:rsidP="00805013">
      <w:pPr>
        <w:spacing w:line="240" w:lineRule="auto"/>
        <w:jc w:val="center"/>
        <w:rPr>
          <w:sz w:val="22"/>
          <w:szCs w:val="22"/>
          <w:lang w:val="de-AT"/>
        </w:rPr>
      </w:pPr>
    </w:p>
    <w:p w14:paraId="50537ABA" w14:textId="5EFF5949" w:rsidR="0088124E" w:rsidRPr="00A72C8B" w:rsidRDefault="00E63DAF" w:rsidP="00805013">
      <w:pPr>
        <w:spacing w:line="240" w:lineRule="auto"/>
        <w:jc w:val="center"/>
        <w:rPr>
          <w:rFonts w:cs="Calibri"/>
          <w:sz w:val="22"/>
          <w:szCs w:val="22"/>
          <w:lang w:val="de-AT"/>
        </w:rPr>
      </w:pPr>
      <w:r w:rsidRPr="00A72C8B">
        <w:rPr>
          <w:rFonts w:cs="Calibri"/>
          <w:sz w:val="22"/>
          <w:szCs w:val="22"/>
          <w:lang w:val="de-AT"/>
        </w:rPr>
        <w:lastRenderedPageBreak/>
        <w:t>* * *</w:t>
      </w:r>
    </w:p>
    <w:p w14:paraId="24A444DD" w14:textId="66D93D41" w:rsidR="0088124E" w:rsidRPr="00A72C8B" w:rsidRDefault="0088124E" w:rsidP="0088124E">
      <w:pPr>
        <w:pStyle w:val="Ansprechpartner"/>
        <w:rPr>
          <w:rFonts w:asciiTheme="minorHAnsi" w:hAnsiTheme="minorHAnsi"/>
          <w:szCs w:val="22"/>
          <w:lang w:val="de-AT"/>
        </w:rPr>
      </w:pPr>
      <w:r w:rsidRPr="00A72C8B">
        <w:rPr>
          <w:rFonts w:asciiTheme="minorHAnsi" w:hAnsiTheme="minorHAnsi"/>
          <w:szCs w:val="22"/>
          <w:lang w:val="de-AT"/>
        </w:rPr>
        <w:t>MEDIENKONTAK</w:t>
      </w:r>
      <w:r w:rsidR="00A17823" w:rsidRPr="00A72C8B">
        <w:rPr>
          <w:rFonts w:asciiTheme="minorHAnsi" w:hAnsiTheme="minorHAnsi"/>
          <w:szCs w:val="22"/>
          <w:lang w:val="de-AT"/>
        </w:rPr>
        <w:t>t</w:t>
      </w:r>
      <w:r w:rsidRPr="00A72C8B">
        <w:rPr>
          <w:rFonts w:asciiTheme="minorHAnsi" w:hAnsiTheme="minorHAnsi"/>
          <w:szCs w:val="22"/>
          <w:lang w:val="de-AT"/>
        </w:rPr>
        <w:t>E:</w:t>
      </w:r>
    </w:p>
    <w:p w14:paraId="122A172D" w14:textId="3A538ABF" w:rsidR="0088124E" w:rsidRPr="00A72C8B" w:rsidRDefault="00AA2D44" w:rsidP="0088124E">
      <w:pPr>
        <w:pStyle w:val="AnsprechpartnerText"/>
        <w:rPr>
          <w:rFonts w:asciiTheme="minorHAnsi" w:hAnsiTheme="minorHAnsi"/>
          <w:szCs w:val="22"/>
          <w:lang w:val="de-AT"/>
        </w:rPr>
      </w:pPr>
      <w:r w:rsidRPr="00A72C8B">
        <w:rPr>
          <w:rFonts w:asciiTheme="minorHAnsi" w:hAnsiTheme="minorHAnsi"/>
          <w:szCs w:val="22"/>
          <w:lang w:val="de-AT"/>
        </w:rPr>
        <w:t xml:space="preserve">Valeska </w:t>
      </w:r>
      <w:r w:rsidR="0036777E" w:rsidRPr="00A72C8B">
        <w:rPr>
          <w:rFonts w:asciiTheme="minorHAnsi" w:hAnsiTheme="minorHAnsi"/>
          <w:szCs w:val="22"/>
          <w:lang w:val="de-AT"/>
        </w:rPr>
        <w:t>Mayr-</w:t>
      </w:r>
      <w:r w:rsidRPr="00A72C8B">
        <w:rPr>
          <w:rFonts w:asciiTheme="minorHAnsi" w:hAnsiTheme="minorHAnsi"/>
          <w:szCs w:val="22"/>
          <w:lang w:val="de-AT"/>
        </w:rPr>
        <w:t>Haaf</w:t>
      </w:r>
      <w:r w:rsidR="0088124E" w:rsidRPr="00A72C8B">
        <w:rPr>
          <w:rFonts w:asciiTheme="minorHAnsi" w:hAnsiTheme="minorHAnsi"/>
          <w:szCs w:val="22"/>
          <w:lang w:val="de-AT"/>
        </w:rPr>
        <w:t>, Direktorin Kommunikation</w:t>
      </w:r>
      <w:r w:rsidR="0088124E" w:rsidRPr="00A72C8B">
        <w:rPr>
          <w:rFonts w:asciiTheme="minorHAnsi" w:hAnsiTheme="minorHAnsi"/>
          <w:szCs w:val="22"/>
          <w:lang w:val="de-AT"/>
        </w:rPr>
        <w:br/>
        <w:t xml:space="preserve">Tel.: </w:t>
      </w:r>
      <w:r w:rsidRPr="00A72C8B">
        <w:rPr>
          <w:rFonts w:asciiTheme="minorHAnsi" w:hAnsiTheme="minorHAnsi"/>
          <w:szCs w:val="22"/>
          <w:lang w:val="de-AT"/>
        </w:rPr>
        <w:t>+43 (0)699 1680 11 03</w:t>
      </w:r>
      <w:r w:rsidR="0088124E" w:rsidRPr="00A72C8B">
        <w:rPr>
          <w:rFonts w:asciiTheme="minorHAnsi" w:hAnsiTheme="minorHAnsi"/>
          <w:szCs w:val="22"/>
          <w:lang w:val="de-AT"/>
        </w:rPr>
        <w:br/>
        <w:t xml:space="preserve">E-Mail: </w:t>
      </w:r>
      <w:hyperlink r:id="rId11" w:history="1">
        <w:r w:rsidR="00A60A22" w:rsidRPr="00A72C8B">
          <w:rPr>
            <w:rStyle w:val="Hyperlink"/>
            <w:rFonts w:asciiTheme="minorHAnsi" w:hAnsiTheme="minorHAnsi"/>
            <w:szCs w:val="22"/>
            <w:lang w:val="de-AT"/>
          </w:rPr>
          <w:t>valeska.mayr-haaf@renault.at</w:t>
        </w:r>
      </w:hyperlink>
      <w:r w:rsidR="0088124E" w:rsidRPr="00A72C8B">
        <w:rPr>
          <w:rFonts w:asciiTheme="minorHAnsi" w:hAnsiTheme="minorHAnsi"/>
          <w:szCs w:val="22"/>
          <w:lang w:val="de-AT"/>
        </w:rPr>
        <w:br/>
      </w:r>
    </w:p>
    <w:p w14:paraId="73C7C541" w14:textId="77777777" w:rsidR="0088124E" w:rsidRPr="00A72C8B" w:rsidRDefault="0088124E" w:rsidP="0088124E">
      <w:pPr>
        <w:pStyle w:val="AnsprechpartnerText"/>
        <w:spacing w:before="0" w:line="240" w:lineRule="auto"/>
        <w:rPr>
          <w:rFonts w:asciiTheme="minorHAnsi" w:hAnsiTheme="minorHAnsi"/>
          <w:szCs w:val="22"/>
          <w:lang w:val="de-AT"/>
        </w:rPr>
      </w:pPr>
      <w:r w:rsidRPr="00A72C8B">
        <w:rPr>
          <w:rFonts w:asciiTheme="minorHAnsi" w:hAnsiTheme="minorHAnsi"/>
          <w:szCs w:val="22"/>
          <w:lang w:val="de-AT"/>
        </w:rPr>
        <w:t xml:space="preserve">Tizian Ballweber, Produkt-PR Spezialist </w:t>
      </w:r>
      <w:r w:rsidRPr="00A72C8B">
        <w:rPr>
          <w:rFonts w:asciiTheme="minorHAnsi" w:hAnsiTheme="minorHAnsi"/>
          <w:szCs w:val="22"/>
          <w:lang w:val="de-AT"/>
        </w:rPr>
        <w:br/>
        <w:t>Tel.: +43 (0)699 1680 11 04</w:t>
      </w:r>
    </w:p>
    <w:p w14:paraId="2596C8DB" w14:textId="2214C9B7" w:rsidR="0088124E" w:rsidRPr="00A72C8B" w:rsidRDefault="0088124E" w:rsidP="0036777E">
      <w:pPr>
        <w:pStyle w:val="AnsprechpartnerText"/>
        <w:spacing w:before="0" w:line="240" w:lineRule="auto"/>
        <w:rPr>
          <w:rFonts w:asciiTheme="minorHAnsi" w:hAnsiTheme="minorHAnsi" w:cs="Calibri"/>
          <w:szCs w:val="22"/>
          <w:lang w:val="de-AT"/>
        </w:rPr>
      </w:pPr>
      <w:r w:rsidRPr="00A72C8B">
        <w:rPr>
          <w:rFonts w:asciiTheme="minorHAnsi" w:hAnsiTheme="minorHAnsi"/>
          <w:szCs w:val="22"/>
          <w:lang w:val="de-AT"/>
        </w:rPr>
        <w:t xml:space="preserve">E-Mail: </w:t>
      </w:r>
      <w:hyperlink r:id="rId12" w:history="1">
        <w:r w:rsidRPr="00A72C8B">
          <w:rPr>
            <w:rStyle w:val="Hyperlink"/>
            <w:rFonts w:asciiTheme="minorHAnsi" w:hAnsiTheme="minorHAnsi"/>
            <w:szCs w:val="22"/>
            <w:lang w:val="de-AT"/>
          </w:rPr>
          <w:t>tizian.ballweber@renault.at</w:t>
        </w:r>
      </w:hyperlink>
      <w:r w:rsidRPr="00A72C8B">
        <w:rPr>
          <w:rFonts w:asciiTheme="minorHAnsi" w:hAnsiTheme="minorHAnsi"/>
          <w:szCs w:val="22"/>
          <w:lang w:val="de-AT"/>
        </w:rPr>
        <w:t xml:space="preserve"> </w:t>
      </w:r>
      <w:r w:rsidRPr="00A72C8B">
        <w:rPr>
          <w:rFonts w:asciiTheme="minorHAnsi" w:hAnsiTheme="minorHAnsi"/>
          <w:szCs w:val="22"/>
          <w:lang w:val="de-AT"/>
        </w:rPr>
        <w:br/>
      </w:r>
    </w:p>
    <w:p w14:paraId="074B5219" w14:textId="77777777" w:rsidR="005E1FA8" w:rsidRPr="00A72C8B" w:rsidRDefault="005E1FA8" w:rsidP="0088124E">
      <w:pPr>
        <w:pStyle w:val="AnsprechpartnerText"/>
        <w:spacing w:before="0" w:line="240" w:lineRule="auto"/>
        <w:rPr>
          <w:rFonts w:asciiTheme="minorHAnsi" w:hAnsiTheme="minorHAnsi"/>
          <w:b/>
          <w:bCs/>
          <w:i/>
          <w:iCs/>
          <w:szCs w:val="22"/>
          <w:lang w:val="de-AT"/>
        </w:rPr>
      </w:pPr>
    </w:p>
    <w:p w14:paraId="62A1438B" w14:textId="77777777" w:rsidR="005E1FA8" w:rsidRPr="00A72C8B" w:rsidRDefault="005E1FA8" w:rsidP="0088124E">
      <w:pPr>
        <w:pStyle w:val="AnsprechpartnerText"/>
        <w:spacing w:before="0" w:line="240" w:lineRule="auto"/>
        <w:rPr>
          <w:rFonts w:asciiTheme="minorHAnsi" w:hAnsiTheme="minorHAnsi"/>
          <w:b/>
          <w:bCs/>
          <w:i/>
          <w:iCs/>
          <w:szCs w:val="22"/>
          <w:lang w:val="de-AT"/>
        </w:rPr>
      </w:pPr>
    </w:p>
    <w:p w14:paraId="2C73F2DB" w14:textId="6F992EB2" w:rsidR="0088124E" w:rsidRPr="00A72C8B" w:rsidRDefault="0088124E" w:rsidP="0088124E">
      <w:pPr>
        <w:pStyle w:val="AnsprechpartnerText"/>
        <w:spacing w:before="0" w:line="240" w:lineRule="auto"/>
        <w:rPr>
          <w:rFonts w:asciiTheme="minorHAnsi" w:hAnsiTheme="minorHAnsi"/>
          <w:szCs w:val="22"/>
          <w:lang w:val="de-AT"/>
        </w:rPr>
      </w:pPr>
      <w:r w:rsidRPr="00A72C8B">
        <w:rPr>
          <w:rFonts w:asciiTheme="minorHAnsi" w:hAnsiTheme="minorHAnsi"/>
          <w:b/>
          <w:bCs/>
          <w:i/>
          <w:iCs/>
          <w:szCs w:val="22"/>
          <w:lang w:val="de-AT"/>
        </w:rPr>
        <w:t>Alle Medieninformationen finden Sie unter:</w:t>
      </w:r>
      <w:r w:rsidRPr="00A72C8B">
        <w:rPr>
          <w:rFonts w:asciiTheme="minorHAnsi" w:hAnsiTheme="minorHAnsi"/>
          <w:bCs/>
          <w:i/>
          <w:iCs/>
          <w:szCs w:val="22"/>
          <w:lang w:val="de-AT"/>
        </w:rPr>
        <w:t xml:space="preserve"> </w:t>
      </w:r>
      <w:hyperlink r:id="rId13" w:history="1">
        <w:r w:rsidRPr="00A72C8B">
          <w:rPr>
            <w:rStyle w:val="Hyperlink"/>
            <w:rFonts w:asciiTheme="minorHAnsi" w:hAnsiTheme="minorHAnsi"/>
            <w:bCs/>
            <w:i/>
            <w:iCs/>
            <w:szCs w:val="22"/>
            <w:u w:val="single"/>
            <w:lang w:val="de-AT"/>
          </w:rPr>
          <w:t>www.media.renault.at</w:t>
        </w:r>
      </w:hyperlink>
      <w:r w:rsidRPr="00A72C8B">
        <w:rPr>
          <w:rFonts w:asciiTheme="minorHAnsi" w:hAnsiTheme="minorHAnsi"/>
          <w:bCs/>
          <w:i/>
          <w:iCs/>
          <w:szCs w:val="22"/>
          <w:lang w:val="de-AT"/>
        </w:rPr>
        <w:t xml:space="preserve"> </w:t>
      </w:r>
    </w:p>
    <w:p w14:paraId="77388E6D" w14:textId="667D8053" w:rsidR="0088124E" w:rsidRPr="00A72C8B" w:rsidRDefault="0088124E" w:rsidP="0088124E">
      <w:pPr>
        <w:spacing w:line="240" w:lineRule="auto"/>
        <w:jc w:val="both"/>
        <w:rPr>
          <w:sz w:val="22"/>
          <w:szCs w:val="22"/>
          <w:lang w:val="de-AT"/>
        </w:rPr>
      </w:pPr>
    </w:p>
    <w:p w14:paraId="0E6BE1AF" w14:textId="0884B76D" w:rsidR="00415177" w:rsidRPr="00A72C8B" w:rsidRDefault="00415177" w:rsidP="00415177">
      <w:pPr>
        <w:shd w:val="clear" w:color="auto" w:fill="FFFFFF"/>
        <w:spacing w:line="420" w:lineRule="atLeast"/>
        <w:jc w:val="both"/>
        <w:rPr>
          <w:rFonts w:cstheme="minorHAnsi"/>
          <w:b/>
          <w:sz w:val="20"/>
          <w:lang w:val="de-AT"/>
        </w:rPr>
      </w:pPr>
      <w:r w:rsidRPr="00A72C8B">
        <w:rPr>
          <w:rFonts w:cstheme="minorHAnsi"/>
          <w:b/>
          <w:sz w:val="20"/>
          <w:lang w:val="de-AT"/>
        </w:rPr>
        <w:t>Über die Renault Group</w:t>
      </w:r>
    </w:p>
    <w:p w14:paraId="40BA288B" w14:textId="77777777" w:rsidR="00B61EBC" w:rsidRPr="00A72C8B" w:rsidRDefault="00B61EBC" w:rsidP="00B61EBC">
      <w:pPr>
        <w:spacing w:before="0" w:line="240" w:lineRule="auto"/>
        <w:jc w:val="both"/>
        <w:rPr>
          <w:sz w:val="20"/>
          <w:lang w:val="de-AT"/>
        </w:rPr>
      </w:pPr>
      <w:r w:rsidRPr="00A72C8B">
        <w:rPr>
          <w:sz w:val="20"/>
          <w:lang w:val="de-AT"/>
        </w:rPr>
        <w:t>Die Renault Group steht an vorderster Front einer Mobilität, die sich neu erfindet und die Menschen einander näherbringt. Um auch weiterhin ihren Kunden nachhaltige und innovative Mobilitätslösungen anbieten zu können, setzt die Renault Group konsequent auf die Komplementarität ihrer vier Marken – Renault, Dacia, Alpine und Mobilize –, auf den weiteren Ausbau ihrer Marktführerschaft bei Elektrofahrzeugen und ihre einzigartige Allianz mit Nissan und Mitsubishi. Das Unternehmen ist in mehr als 114 Ländern tätig, beschäftigt derzeit mehr als 98.000 Mitarbeitende und hat im Jahr 2024 2,26 Millionen Fahrzeuge verkauft.</w:t>
      </w:r>
    </w:p>
    <w:p w14:paraId="5BA31A55" w14:textId="77777777" w:rsidR="00E94723" w:rsidRPr="00A72C8B" w:rsidRDefault="00E94723" w:rsidP="00E94723">
      <w:pPr>
        <w:spacing w:before="0" w:line="240" w:lineRule="auto"/>
        <w:jc w:val="both"/>
        <w:rPr>
          <w:sz w:val="20"/>
          <w:lang w:val="de-AT"/>
        </w:rPr>
      </w:pPr>
    </w:p>
    <w:p w14:paraId="1B3625F1" w14:textId="77777777" w:rsidR="00E94723" w:rsidRPr="00A72C8B" w:rsidRDefault="00E94723" w:rsidP="00E94723">
      <w:pPr>
        <w:spacing w:before="0" w:line="240" w:lineRule="auto"/>
        <w:jc w:val="both"/>
        <w:rPr>
          <w:sz w:val="20"/>
          <w:lang w:val="de-AT"/>
        </w:rPr>
      </w:pPr>
      <w:r w:rsidRPr="00A72C8B">
        <w:rPr>
          <w:sz w:val="20"/>
          <w:lang w:val="de-AT"/>
        </w:rPr>
        <w:t xml:space="preserve">Bereit, die Herausforderungen auf der Straße und der Rennstrecke anzunehmen, hat sich der Konzern zu einer ehrgeizigen, wertschaffenden Transformation verpflichtet. Im Mittelpunkt steht dabei die Entwicklung neuer Technologien und Dienstleistungen sowie einer neuen Palette von noch wettbewerbsfähigeren, ausgewogenen und elektrifizierten Fahrzeugen. Im Einklang mit den ökologischen Herausforderungen strebt die Renault Gruppe bis 2050 die CO2-Neutralität in Europa an. </w:t>
      </w:r>
      <w:hyperlink r:id="rId14" w:history="1">
        <w:r w:rsidRPr="00A72C8B">
          <w:rPr>
            <w:rStyle w:val="Hyperlink"/>
            <w:sz w:val="20"/>
            <w:lang w:val="de-AT"/>
          </w:rPr>
          <w:t>https://www.renaultgroup.com</w:t>
        </w:r>
      </w:hyperlink>
    </w:p>
    <w:p w14:paraId="075A5A15" w14:textId="77777777" w:rsidR="00E94723" w:rsidRPr="00A72C8B" w:rsidRDefault="00E94723" w:rsidP="00E94723">
      <w:pPr>
        <w:spacing w:before="0" w:line="240" w:lineRule="auto"/>
        <w:jc w:val="both"/>
        <w:rPr>
          <w:sz w:val="20"/>
          <w:lang w:val="de-AT"/>
        </w:rPr>
      </w:pPr>
    </w:p>
    <w:p w14:paraId="303E8EB4" w14:textId="1BE4269D" w:rsidR="00E94723" w:rsidRPr="00A72C8B" w:rsidRDefault="00E94723" w:rsidP="00E94723">
      <w:pPr>
        <w:spacing w:before="0" w:line="240" w:lineRule="auto"/>
        <w:jc w:val="both"/>
        <w:rPr>
          <w:rFonts w:cstheme="minorHAnsi"/>
          <w:color w:val="3F3F3E"/>
          <w:sz w:val="20"/>
          <w:lang w:val="de-AT"/>
        </w:rPr>
      </w:pPr>
      <w:r w:rsidRPr="00A72C8B">
        <w:rPr>
          <w:sz w:val="20"/>
          <w:lang w:val="de-AT"/>
        </w:rPr>
        <w:t xml:space="preserve">In Österreich ist Renault Group seit 1947 vertreten. Heute vermarktet und vertreibt die Renault Österreich GmbH die Marken Renault, Dacia und Alpine. Mit mehr als </w:t>
      </w:r>
      <w:r w:rsidR="00C41969" w:rsidRPr="00A72C8B">
        <w:rPr>
          <w:sz w:val="20"/>
          <w:lang w:val="de-AT"/>
        </w:rPr>
        <w:t xml:space="preserve">25.500 </w:t>
      </w:r>
      <w:r w:rsidRPr="00A72C8B">
        <w:rPr>
          <w:sz w:val="20"/>
          <w:lang w:val="de-AT"/>
        </w:rPr>
        <w:t>neu zugelassenen Personenwagen und leichten Nutzfahrzeugen erreicht sie 202</w:t>
      </w:r>
      <w:r w:rsidR="00C41969" w:rsidRPr="00A72C8B">
        <w:rPr>
          <w:sz w:val="20"/>
          <w:lang w:val="de-AT"/>
        </w:rPr>
        <w:t>5</w:t>
      </w:r>
      <w:r w:rsidRPr="00A72C8B">
        <w:rPr>
          <w:sz w:val="20"/>
          <w:lang w:val="de-AT"/>
        </w:rPr>
        <w:t xml:space="preserve"> einen Marktanteil von rund </w:t>
      </w:r>
      <w:r w:rsidR="00C41969" w:rsidRPr="00A72C8B">
        <w:rPr>
          <w:sz w:val="20"/>
          <w:lang w:val="de-AT"/>
        </w:rPr>
        <w:t>8,0</w:t>
      </w:r>
      <w:r w:rsidRPr="00A72C8B">
        <w:rPr>
          <w:sz w:val="20"/>
          <w:lang w:val="de-AT"/>
        </w:rPr>
        <w:t xml:space="preserve"> Prozent. Mit über </w:t>
      </w:r>
      <w:r w:rsidR="00C41969" w:rsidRPr="00A72C8B">
        <w:rPr>
          <w:sz w:val="20"/>
          <w:lang w:val="de-AT"/>
        </w:rPr>
        <w:t>4.200</w:t>
      </w:r>
      <w:r w:rsidRPr="00A72C8B">
        <w:rPr>
          <w:sz w:val="20"/>
          <w:lang w:val="de-AT"/>
        </w:rPr>
        <w:t xml:space="preserve"> Neuzulassungen der rein elektrisch angetriebenen Modell</w:t>
      </w:r>
      <w:r w:rsidR="00C41969" w:rsidRPr="00A72C8B">
        <w:rPr>
          <w:sz w:val="20"/>
          <w:lang w:val="de-AT"/>
        </w:rPr>
        <w:t>e Renault 5 E-Tech Electric, Renault 4 E-Tech Electric, Twingo E-Tech Electric,</w:t>
      </w:r>
      <w:r w:rsidRPr="00A72C8B">
        <w:rPr>
          <w:sz w:val="20"/>
          <w:lang w:val="de-AT"/>
        </w:rPr>
        <w:t xml:space="preserve"> Megane E-Tech Electric, Scenic E-Tech Electric, Kangoo E-Tech Electric, Trafic E-Tech Electric und Master E-Tech Electric ist die Marke Renault einer der größten Anbieter von Elektrofahrzeugen Österreichs. Das Händlernetz der drei Marken wird kontinuierlich ausgebaut und zählt rund 160 Partnerbetriebe, die Autos und Dienstleistungen mit höchster Servicequalität anbieten. </w:t>
      </w:r>
      <w:hyperlink r:id="rId15" w:history="1">
        <w:r w:rsidRPr="00A72C8B">
          <w:rPr>
            <w:rStyle w:val="Hyperlink"/>
            <w:rFonts w:cstheme="minorHAnsi"/>
            <w:sz w:val="20"/>
            <w:lang w:val="de-AT"/>
          </w:rPr>
          <w:t>https://www.renaultgroup.com/</w:t>
        </w:r>
      </w:hyperlink>
      <w:r w:rsidRPr="00A72C8B">
        <w:rPr>
          <w:rFonts w:cstheme="minorHAnsi"/>
          <w:color w:val="3F3F3E"/>
          <w:sz w:val="20"/>
          <w:lang w:val="de-AT"/>
        </w:rPr>
        <w:t xml:space="preserve">  </w:t>
      </w:r>
    </w:p>
    <w:p w14:paraId="07FE72B3" w14:textId="3D2C7D14" w:rsidR="005176D9" w:rsidRPr="00A72C8B" w:rsidRDefault="005176D9" w:rsidP="00BC12EB">
      <w:pPr>
        <w:spacing w:before="0" w:line="240" w:lineRule="auto"/>
        <w:jc w:val="both"/>
        <w:rPr>
          <w:rFonts w:cstheme="minorHAnsi"/>
          <w:color w:val="3F3F3E"/>
          <w:sz w:val="20"/>
          <w:lang w:val="de-AT"/>
        </w:rPr>
      </w:pPr>
    </w:p>
    <w:sectPr w:rsidR="005176D9" w:rsidRPr="00A72C8B" w:rsidSect="005E1FA8">
      <w:headerReference w:type="default" r:id="rId16"/>
      <w:headerReference w:type="first" r:id="rId17"/>
      <w:footerReference w:type="first" r:id="rId18"/>
      <w:pgSz w:w="11906" w:h="16838" w:code="9"/>
      <w:pgMar w:top="2155" w:right="851" w:bottom="1985" w:left="85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6488C" w14:textId="77777777" w:rsidR="004B01BA" w:rsidRDefault="004B01BA" w:rsidP="00A602D8">
      <w:pPr>
        <w:spacing w:before="0" w:line="240" w:lineRule="auto"/>
      </w:pPr>
      <w:r>
        <w:separator/>
      </w:r>
    </w:p>
  </w:endnote>
  <w:endnote w:type="continuationSeparator" w:id="0">
    <w:p w14:paraId="2401DBD3" w14:textId="77777777" w:rsidR="004B01BA" w:rsidRDefault="004B01BA" w:rsidP="00A602D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enault Group">
    <w:altName w:val="Cambria"/>
    <w:panose1 w:val="00000000000000000000"/>
    <w:charset w:val="00"/>
    <w:family w:val="auto"/>
    <w:pitch w:val="variable"/>
    <w:sig w:usb0="E00002A7" w:usb1="5000006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Renault Group Semibold">
    <w:altName w:val="Calibri"/>
    <w:charset w:val="00"/>
    <w:family w:val="auto"/>
    <w:pitch w:val="variable"/>
    <w:sig w:usb0="E00002A7" w:usb1="5000006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enault Group AH Light">
    <w:altName w:val="Arial"/>
    <w:charset w:val="00"/>
    <w:family w:val="auto"/>
    <w:pitch w:val="variable"/>
    <w:sig w:usb0="A0002827" w:usb1="5000006B" w:usb2="00000008"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single" w:sz="8" w:space="0" w:color="auto"/>
        <w:left w:val="none" w:sz="0" w:space="0" w:color="auto"/>
        <w:bottom w:val="none" w:sz="0" w:space="0" w:color="auto"/>
        <w:right w:val="none" w:sz="0" w:space="0" w:color="auto"/>
        <w:insideH w:val="none" w:sz="0" w:space="0" w:color="auto"/>
        <w:insideV w:val="none" w:sz="0" w:space="0" w:color="auto"/>
      </w:tblBorders>
      <w:tblCellMar>
        <w:top w:w="170" w:type="dxa"/>
        <w:left w:w="0" w:type="dxa"/>
        <w:bottom w:w="28" w:type="dxa"/>
        <w:right w:w="57" w:type="dxa"/>
      </w:tblCellMar>
      <w:tblLook w:val="04A0" w:firstRow="1" w:lastRow="0" w:firstColumn="1" w:lastColumn="0" w:noHBand="0" w:noVBand="1"/>
    </w:tblPr>
    <w:tblGrid>
      <w:gridCol w:w="1560"/>
      <w:gridCol w:w="8079"/>
      <w:gridCol w:w="555"/>
    </w:tblGrid>
    <w:tr w:rsidR="007D3970" w14:paraId="0EE814FB" w14:textId="77777777" w:rsidTr="007D3970">
      <w:tc>
        <w:tcPr>
          <w:tcW w:w="1560" w:type="dxa"/>
        </w:tcPr>
        <w:p w14:paraId="417388DE" w14:textId="77777777" w:rsidR="007D3970" w:rsidRPr="007D3970" w:rsidRDefault="007D3970">
          <w:pPr>
            <w:pStyle w:val="Fuzeile"/>
            <w:rPr>
              <w:b/>
              <w:sz w:val="16"/>
              <w:szCs w:val="16"/>
            </w:rPr>
          </w:pPr>
          <w:r w:rsidRPr="007D3970">
            <w:rPr>
              <w:b/>
              <w:sz w:val="16"/>
              <w:szCs w:val="16"/>
            </w:rPr>
            <w:t>RENAULT PRESS</w:t>
          </w:r>
        </w:p>
      </w:tc>
      <w:tc>
        <w:tcPr>
          <w:tcW w:w="8079" w:type="dxa"/>
        </w:tcPr>
        <w:p w14:paraId="0856969A" w14:textId="77777777" w:rsidR="007D3970" w:rsidRPr="001C0A0D" w:rsidRDefault="007D3970" w:rsidP="007D3970">
          <w:pPr>
            <w:pStyle w:val="Fuzeile"/>
            <w:rPr>
              <w:lang w:val="de-AT"/>
            </w:rPr>
          </w:pPr>
          <w:r w:rsidRPr="001C0A0D">
            <w:rPr>
              <w:lang w:val="de-AT"/>
            </w:rPr>
            <w:t>+33 0 00 00 00</w:t>
          </w:r>
        </w:p>
        <w:p w14:paraId="7CDC4ABD" w14:textId="77777777" w:rsidR="007D3970" w:rsidRPr="001C0A0D" w:rsidRDefault="007D3970" w:rsidP="007D3970">
          <w:pPr>
            <w:pStyle w:val="Fuzeile"/>
            <w:rPr>
              <w:lang w:val="de-AT"/>
            </w:rPr>
          </w:pPr>
          <w:r w:rsidRPr="001C0A0D">
            <w:rPr>
              <w:lang w:val="de-AT"/>
            </w:rPr>
            <w:t xml:space="preserve">media.renault@renault.fr </w:t>
          </w:r>
        </w:p>
        <w:p w14:paraId="2A2C28BA" w14:textId="77777777" w:rsidR="007D3970" w:rsidRPr="001C0A0D" w:rsidRDefault="007D3970" w:rsidP="007D3970">
          <w:pPr>
            <w:pStyle w:val="Fuzeile"/>
            <w:rPr>
              <w:lang w:val="de-AT"/>
            </w:rPr>
          </w:pPr>
          <w:r w:rsidRPr="001C0A0D">
            <w:rPr>
              <w:lang w:val="de-AT"/>
            </w:rPr>
            <w:t>mediarenault.com</w:t>
          </w:r>
        </w:p>
      </w:tc>
      <w:tc>
        <w:tcPr>
          <w:tcW w:w="555" w:type="dxa"/>
        </w:tcPr>
        <w:p w14:paraId="7B2328FB" w14:textId="77777777" w:rsidR="007D3970" w:rsidRPr="007D3970" w:rsidRDefault="007D3970" w:rsidP="007D3970">
          <w:pPr>
            <w:pStyle w:val="Fuzeile"/>
            <w:jc w:val="right"/>
            <w:rPr>
              <w:b/>
            </w:rPr>
          </w:pPr>
          <w:r w:rsidRPr="007D3970">
            <w:rPr>
              <w:rStyle w:val="Seitenzahl"/>
              <w:b/>
            </w:rPr>
            <w:fldChar w:fldCharType="begin"/>
          </w:r>
          <w:r w:rsidRPr="007D3970">
            <w:rPr>
              <w:rStyle w:val="Seitenzahl"/>
              <w:b/>
            </w:rPr>
            <w:instrText xml:space="preserve"> PAGE </w:instrText>
          </w:r>
          <w:r w:rsidRPr="007D3970">
            <w:rPr>
              <w:rStyle w:val="Seitenzahl"/>
              <w:b/>
            </w:rPr>
            <w:fldChar w:fldCharType="separate"/>
          </w:r>
          <w:r w:rsidR="00F22D0C">
            <w:rPr>
              <w:rStyle w:val="Seitenzahl"/>
              <w:b/>
              <w:noProof/>
            </w:rPr>
            <w:t>1</w:t>
          </w:r>
          <w:r w:rsidRPr="007D3970">
            <w:rPr>
              <w:rStyle w:val="Seitenzahl"/>
              <w:b/>
            </w:rPr>
            <w:fldChar w:fldCharType="end"/>
          </w:r>
        </w:p>
      </w:tc>
    </w:tr>
  </w:tbl>
  <w:p w14:paraId="787994F5" w14:textId="77777777" w:rsidR="007D3970" w:rsidRPr="007D3970" w:rsidRDefault="007D3970" w:rsidP="007D3970">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CCAD0" w14:textId="77777777" w:rsidR="004B01BA" w:rsidRDefault="004B01BA" w:rsidP="00A602D8">
      <w:pPr>
        <w:spacing w:before="0" w:line="240" w:lineRule="auto"/>
      </w:pPr>
      <w:bookmarkStart w:id="0" w:name="_Hlk105078256"/>
      <w:bookmarkEnd w:id="0"/>
      <w:r>
        <w:separator/>
      </w:r>
    </w:p>
  </w:footnote>
  <w:footnote w:type="continuationSeparator" w:id="0">
    <w:p w14:paraId="480EE23E" w14:textId="77777777" w:rsidR="004B01BA" w:rsidRDefault="004B01BA" w:rsidP="00A602D8">
      <w:pPr>
        <w:spacing w:before="0" w:line="240" w:lineRule="auto"/>
      </w:pPr>
      <w:r>
        <w:continuationSeparator/>
      </w:r>
    </w:p>
  </w:footnote>
  <w:footnote w:id="1">
    <w:p w14:paraId="676AFC43" w14:textId="77777777" w:rsidR="00A72C8B" w:rsidRPr="006B0C3E" w:rsidRDefault="00A72C8B" w:rsidP="00A72C8B">
      <w:pPr>
        <w:pStyle w:val="Funotentext"/>
        <w:rPr>
          <w:rFonts w:asciiTheme="majorHAnsi" w:hAnsiTheme="majorHAnsi" w:cs="Arial"/>
        </w:rPr>
      </w:pPr>
      <w:r w:rsidRPr="006B0C3E">
        <w:rPr>
          <w:rStyle w:val="Funotenzeichen"/>
          <w:rFonts w:asciiTheme="majorHAnsi" w:hAnsiTheme="majorHAnsi" w:cs="Arial"/>
        </w:rPr>
        <w:footnoteRef/>
      </w:r>
      <w:r w:rsidRPr="006B0C3E">
        <w:rPr>
          <w:rFonts w:asciiTheme="majorHAnsi" w:hAnsiTheme="majorHAnsi" w:cs="Arial"/>
        </w:rPr>
        <w:t xml:space="preserve"> ACEA Europäischer Geltungsbereich</w:t>
      </w:r>
    </w:p>
  </w:footnote>
  <w:footnote w:id="2">
    <w:p w14:paraId="0E5C7E92" w14:textId="77777777" w:rsidR="00A72C8B" w:rsidRPr="0092286E" w:rsidRDefault="00A72C8B" w:rsidP="00A72C8B">
      <w:pPr>
        <w:pStyle w:val="Funotentext"/>
        <w:rPr>
          <w:rFonts w:ascii="Arial" w:hAnsi="Arial" w:cs="Arial"/>
          <w:sz w:val="18"/>
          <w:szCs w:val="18"/>
        </w:rPr>
      </w:pPr>
      <w:r w:rsidRPr="006B0C3E">
        <w:rPr>
          <w:rStyle w:val="Funotenzeichen"/>
          <w:rFonts w:asciiTheme="majorHAnsi" w:hAnsiTheme="majorHAnsi" w:cs="Arial"/>
        </w:rPr>
        <w:footnoteRef/>
      </w:r>
      <w:r w:rsidRPr="006B0C3E">
        <w:rPr>
          <w:rFonts w:asciiTheme="majorHAnsi" w:hAnsiTheme="majorHAnsi" w:cs="Arial"/>
        </w:rPr>
        <w:t xml:space="preserve"> Frankreich, Italien, Spanien, Deutschland und Vereinigtes Königsreich</w:t>
      </w:r>
    </w:p>
  </w:footnote>
  <w:footnote w:id="3">
    <w:p w14:paraId="0D704D8E" w14:textId="77777777" w:rsidR="00A72C8B" w:rsidRPr="006B0C3E" w:rsidRDefault="00A72C8B" w:rsidP="006B0C3E">
      <w:pPr>
        <w:pStyle w:val="Funotentext"/>
        <w:rPr>
          <w:rFonts w:asciiTheme="majorHAnsi" w:hAnsiTheme="majorHAnsi"/>
        </w:rPr>
      </w:pPr>
      <w:r w:rsidRPr="006B0C3E">
        <w:rPr>
          <w:rStyle w:val="Funotenzeichen"/>
          <w:rFonts w:asciiTheme="majorHAnsi" w:hAnsiTheme="majorHAnsi"/>
        </w:rPr>
        <w:footnoteRef/>
      </w:r>
      <w:r w:rsidRPr="006B0C3E">
        <w:rPr>
          <w:rFonts w:asciiTheme="majorHAnsi" w:hAnsiTheme="majorHAnsi"/>
        </w:rPr>
        <w:t xml:space="preserve"> </w:t>
      </w:r>
      <w:r w:rsidRPr="006B0C3E">
        <w:rPr>
          <w:rFonts w:asciiTheme="majorHAnsi" w:hAnsiTheme="majorHAnsi" w:cs="Arial"/>
        </w:rPr>
        <w:t>23 Hauptmarken im Pkw-Segment, Frankreich, Italien, Spanien, Deutschland und Vereinigtes Königreich</w:t>
      </w:r>
    </w:p>
  </w:footnote>
  <w:footnote w:id="4">
    <w:p w14:paraId="75C734B9" w14:textId="54A7E8E8" w:rsidR="00EA5972" w:rsidRPr="006B0C3E" w:rsidRDefault="00EA5972" w:rsidP="006B0C3E">
      <w:pPr>
        <w:pStyle w:val="AnsprechpartnerText"/>
        <w:spacing w:before="0" w:line="240" w:lineRule="auto"/>
        <w:rPr>
          <w:rFonts w:asciiTheme="majorHAnsi" w:hAnsiTheme="majorHAnsi"/>
          <w:sz w:val="20"/>
          <w:vertAlign w:val="superscript"/>
          <w:lang w:val="pt-BR"/>
        </w:rPr>
      </w:pPr>
      <w:r w:rsidRPr="006B0C3E">
        <w:rPr>
          <w:rStyle w:val="Funotenzeichen"/>
          <w:rFonts w:asciiTheme="majorHAnsi" w:hAnsiTheme="majorHAnsi"/>
          <w:sz w:val="20"/>
        </w:rPr>
        <w:footnoteRef/>
      </w:r>
      <w:r w:rsidRPr="006B0C3E">
        <w:rPr>
          <w:rFonts w:asciiTheme="majorHAnsi" w:hAnsiTheme="majorHAnsi"/>
          <w:sz w:val="20"/>
        </w:rPr>
        <w:t xml:space="preserve"> </w:t>
      </w:r>
      <w:r w:rsidR="006B0C3E" w:rsidRPr="006B0C3E">
        <w:rPr>
          <w:rFonts w:asciiTheme="majorHAnsi" w:hAnsiTheme="majorHAnsi"/>
          <w:sz w:val="20"/>
          <w:lang w:val="pt-BR"/>
        </w:rPr>
        <w:t>HEV, PHEV und EV; Pkw-Markt in Europa</w:t>
      </w:r>
    </w:p>
  </w:footnote>
  <w:footnote w:id="5">
    <w:p w14:paraId="5B73FD35" w14:textId="77777777" w:rsidR="00A72C8B" w:rsidRDefault="00A72C8B" w:rsidP="006B0C3E">
      <w:pPr>
        <w:pStyle w:val="Funotentext"/>
      </w:pPr>
      <w:r w:rsidRPr="006B0C3E">
        <w:rPr>
          <w:rStyle w:val="Funotenzeichen"/>
          <w:rFonts w:asciiTheme="majorHAnsi" w:hAnsiTheme="majorHAnsi"/>
        </w:rPr>
        <w:footnoteRef/>
      </w:r>
      <w:r w:rsidRPr="006B0C3E">
        <w:rPr>
          <w:rFonts w:asciiTheme="majorHAnsi" w:hAnsiTheme="majorHAnsi"/>
        </w:rPr>
        <w:t xml:space="preserve"> </w:t>
      </w:r>
      <w:r w:rsidRPr="006B0C3E">
        <w:rPr>
          <w:rFonts w:asciiTheme="majorHAnsi" w:hAnsiTheme="majorHAnsi" w:cs="Arial"/>
        </w:rPr>
        <w:t>Deutschland, Vereinigtes Königreich, Irland, Dänemark, Finnland, Norwegen und Schweden</w:t>
      </w:r>
      <w:r w:rsidRPr="006B0C3E">
        <w:rPr>
          <w:rFonts w:ascii="Arial" w:hAnsi="Arial" w:cs="Arial"/>
          <w:sz w:val="16"/>
          <w:szCs w:val="16"/>
        </w:rPr>
        <w:t xml:space="preserve"> </w:t>
      </w:r>
    </w:p>
  </w:footnote>
  <w:footnote w:id="6">
    <w:p w14:paraId="0EA8668C" w14:textId="0C7C76FC" w:rsidR="00894D0B" w:rsidRPr="009B59CE" w:rsidRDefault="00894D0B">
      <w:pPr>
        <w:pStyle w:val="Funotentext"/>
        <w:rPr>
          <w:rFonts w:asciiTheme="majorHAnsi" w:hAnsiTheme="majorHAnsi"/>
          <w:lang w:val="de-AT"/>
        </w:rPr>
      </w:pPr>
      <w:r w:rsidRPr="009B59CE">
        <w:rPr>
          <w:rStyle w:val="Funotenzeichen"/>
          <w:rFonts w:asciiTheme="majorHAnsi" w:hAnsiTheme="majorHAnsi"/>
        </w:rPr>
        <w:footnoteRef/>
      </w:r>
      <w:r w:rsidRPr="009B59CE">
        <w:rPr>
          <w:rFonts w:asciiTheme="majorHAnsi" w:hAnsiTheme="majorHAnsi"/>
        </w:rPr>
        <w:t xml:space="preserve"> </w:t>
      </w:r>
      <w:r w:rsidR="009B59CE" w:rsidRPr="009B59CE">
        <w:rPr>
          <w:rFonts w:asciiTheme="majorHAnsi" w:hAnsiTheme="majorHAnsi"/>
        </w:rPr>
        <w:t>G5-Länder</w:t>
      </w:r>
    </w:p>
  </w:footnote>
  <w:footnote w:id="7">
    <w:p w14:paraId="0CC81F52" w14:textId="77777777" w:rsidR="00A64ACA" w:rsidRPr="009B59CE" w:rsidRDefault="00D94A5B" w:rsidP="00A64ACA">
      <w:pPr>
        <w:pStyle w:val="AnsprechpartnerText"/>
        <w:rPr>
          <w:rFonts w:asciiTheme="majorHAnsi" w:hAnsiTheme="majorHAnsi"/>
          <w:sz w:val="20"/>
          <w:lang w:val="pt-BR"/>
        </w:rPr>
      </w:pPr>
      <w:r w:rsidRPr="009B59CE">
        <w:rPr>
          <w:rStyle w:val="Funotenzeichen"/>
          <w:rFonts w:asciiTheme="majorHAnsi" w:hAnsiTheme="majorHAnsi"/>
          <w:sz w:val="20"/>
        </w:rPr>
        <w:footnoteRef/>
      </w:r>
      <w:r w:rsidRPr="009B59CE">
        <w:rPr>
          <w:rFonts w:asciiTheme="majorHAnsi" w:hAnsiTheme="majorHAnsi"/>
          <w:sz w:val="20"/>
        </w:rPr>
        <w:t xml:space="preserve"> </w:t>
      </w:r>
      <w:r w:rsidR="00A64ACA" w:rsidRPr="009B59CE">
        <w:rPr>
          <w:rFonts w:asciiTheme="majorHAnsi" w:hAnsiTheme="majorHAnsi"/>
          <w:sz w:val="20"/>
          <w:lang w:val="pt-BR"/>
        </w:rPr>
        <w:t>Renault Master + Renault Master E-Tech electric + Renault Trucks Master + Renault Trucks Master E-Tech electric</w:t>
      </w:r>
    </w:p>
    <w:p w14:paraId="31C9533A" w14:textId="74663EC3" w:rsidR="00D94A5B" w:rsidRPr="00D94A5B" w:rsidRDefault="00D94A5B">
      <w:pPr>
        <w:pStyle w:val="Funotentext"/>
        <w:rPr>
          <w:lang w:val="de-AT"/>
        </w:rPr>
      </w:pPr>
    </w:p>
  </w:footnote>
  <w:footnote w:id="8">
    <w:p w14:paraId="3EED9EF3" w14:textId="5E01BE0D" w:rsidR="00923A8C" w:rsidRPr="009B59CE" w:rsidRDefault="00923A8C">
      <w:pPr>
        <w:pStyle w:val="Funotentext"/>
        <w:rPr>
          <w:rFonts w:asciiTheme="majorHAnsi" w:hAnsiTheme="majorHAnsi"/>
          <w:lang w:val="de-AT"/>
        </w:rPr>
      </w:pPr>
      <w:r w:rsidRPr="009B59CE">
        <w:rPr>
          <w:rStyle w:val="Funotenzeichen"/>
          <w:rFonts w:asciiTheme="majorHAnsi" w:hAnsiTheme="majorHAnsi"/>
        </w:rPr>
        <w:footnoteRef/>
      </w:r>
      <w:r w:rsidRPr="009B59CE">
        <w:rPr>
          <w:rFonts w:asciiTheme="majorHAnsi" w:hAnsiTheme="majorHAnsi"/>
        </w:rPr>
        <w:t xml:space="preserve"> </w:t>
      </w:r>
      <w:r w:rsidR="00C238D6" w:rsidRPr="009B59CE">
        <w:rPr>
          <w:rFonts w:asciiTheme="majorHAnsi" w:hAnsiTheme="majorHAnsi"/>
          <w:lang w:val="pt-BR"/>
        </w:rPr>
        <w:t>Frankreich, Italien, Spanien, Deutschland und Vereinigtes Königsreich</w:t>
      </w:r>
    </w:p>
  </w:footnote>
  <w:footnote w:id="9">
    <w:p w14:paraId="255EAEC8" w14:textId="2C61B1EB" w:rsidR="009B1D56" w:rsidRPr="009B59CE" w:rsidRDefault="00153F64" w:rsidP="009B1D56">
      <w:pPr>
        <w:pStyle w:val="AnsprechpartnerText"/>
        <w:rPr>
          <w:rFonts w:asciiTheme="majorHAnsi" w:hAnsiTheme="majorHAnsi"/>
          <w:sz w:val="20"/>
          <w:szCs w:val="18"/>
        </w:rPr>
      </w:pPr>
      <w:r w:rsidRPr="009B59CE">
        <w:rPr>
          <w:rStyle w:val="Funotenzeichen"/>
          <w:rFonts w:asciiTheme="majorHAnsi" w:hAnsiTheme="majorHAnsi"/>
          <w:sz w:val="20"/>
          <w:szCs w:val="18"/>
        </w:rPr>
        <w:footnoteRef/>
      </w:r>
      <w:r w:rsidR="009B1D56" w:rsidRPr="009B59CE">
        <w:rPr>
          <w:rFonts w:asciiTheme="majorHAnsi" w:hAnsiTheme="majorHAnsi"/>
          <w:sz w:val="20"/>
          <w:szCs w:val="18"/>
        </w:rPr>
        <w:t xml:space="preserve"> </w:t>
      </w:r>
      <w:r w:rsidR="009B1D56" w:rsidRPr="009B59CE">
        <w:rPr>
          <w:rFonts w:asciiTheme="majorHAnsi" w:hAnsiTheme="majorHAnsi"/>
          <w:sz w:val="20"/>
          <w:szCs w:val="18"/>
          <w:lang w:val="pt-BR"/>
        </w:rPr>
        <w:t>Einschließlich Renault Korea Motors im ersten Halbjahr 2025 (H1 2025)</w:t>
      </w:r>
    </w:p>
    <w:p w14:paraId="507CF9B6" w14:textId="3C63FF21" w:rsidR="00153F64" w:rsidRPr="009B1D56" w:rsidRDefault="00153F64">
      <w:pPr>
        <w:pStyle w:val="Funoten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3E3DF" w14:textId="72134623" w:rsidR="00EB7260" w:rsidRDefault="00EB7260" w:rsidP="00E649E9">
    <w:pPr>
      <w:tabs>
        <w:tab w:val="left" w:pos="9265"/>
      </w:tabs>
      <w:ind w:left="7186" w:firstLine="734"/>
      <w:rPr>
        <w:rFonts w:ascii="Times New Roman"/>
        <w:sz w:val="20"/>
      </w:rPr>
    </w:pPr>
    <w:r>
      <w:rPr>
        <w:noProof/>
      </w:rPr>
      <w:drawing>
        <wp:anchor distT="0" distB="0" distL="114300" distR="114300" simplePos="0" relativeHeight="251658240" behindDoc="0" locked="0" layoutInCell="1" allowOverlap="1" wp14:anchorId="19FF762B" wp14:editId="6876A68C">
          <wp:simplePos x="0" y="0"/>
          <wp:positionH relativeFrom="column">
            <wp:posOffset>97790</wp:posOffset>
          </wp:positionH>
          <wp:positionV relativeFrom="paragraph">
            <wp:posOffset>-207010</wp:posOffset>
          </wp:positionV>
          <wp:extent cx="972000" cy="439200"/>
          <wp:effectExtent l="0" t="0" r="0" b="0"/>
          <wp:wrapSquare wrapText="bothSides"/>
          <wp:docPr id="104564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pic:nvPicPr>
                <pic:blipFill>
                  <a:blip r:embed="rId1">
                    <a:extLst>
                      <a:ext uri="{28A0092B-C50C-407E-A947-70E740481C1C}">
                        <a14:useLocalDpi xmlns:a14="http://schemas.microsoft.com/office/drawing/2010/main" val="0"/>
                      </a:ext>
                    </a:extLst>
                  </a:blip>
                  <a:stretch>
                    <a:fillRect/>
                  </a:stretch>
                </pic:blipFill>
                <pic:spPr>
                  <a:xfrm>
                    <a:off x="0" y="0"/>
                    <a:ext cx="972000" cy="439200"/>
                  </a:xfrm>
                  <a:prstGeom prst="rect">
                    <a:avLst/>
                  </a:prstGeom>
                </pic:spPr>
              </pic:pic>
            </a:graphicData>
          </a:graphic>
        </wp:anchor>
      </w:drawing>
    </w:r>
    <w:r>
      <w:t xml:space="preserve">  </w:t>
    </w:r>
    <w:r>
      <w:rPr>
        <w:rFonts w:ascii="Times New Roman"/>
        <w:sz w:val="20"/>
      </w:rPr>
      <w:tab/>
    </w:r>
  </w:p>
  <w:p w14:paraId="66F0E983" w14:textId="261C9332" w:rsidR="00F22D0C" w:rsidRDefault="00CD51D1" w:rsidP="00CD51D1">
    <w:pPr>
      <w:pStyle w:val="Kopfzeile"/>
      <w:pBdr>
        <w:bottom w:val="single" w:sz="8" w:space="15" w:color="auto"/>
      </w:pBdr>
      <w:tabs>
        <w:tab w:val="left" w:pos="926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D613" w14:textId="77777777" w:rsidR="00A602D8" w:rsidRDefault="4918C62D" w:rsidP="00F22D0C">
    <w:pPr>
      <w:pStyle w:val="Kopfzeile"/>
      <w:pBdr>
        <w:bottom w:val="single" w:sz="8" w:space="15" w:color="auto"/>
      </w:pBdr>
    </w:pPr>
    <w:r>
      <w:rPr>
        <w:noProof/>
      </w:rPr>
      <w:drawing>
        <wp:inline distT="0" distB="0" distL="0" distR="0" wp14:anchorId="396CC762" wp14:editId="316841A4">
          <wp:extent cx="972000" cy="439705"/>
          <wp:effectExtent l="0" t="0" r="0" b="0"/>
          <wp:docPr id="205629013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1">
                    <a:extLst>
                      <a:ext uri="{28A0092B-C50C-407E-A947-70E740481C1C}">
                        <a14:useLocalDpi xmlns:a14="http://schemas.microsoft.com/office/drawing/2010/main" val="0"/>
                      </a:ext>
                    </a:extLst>
                  </a:blip>
                  <a:stretch>
                    <a:fillRect/>
                  </a:stretch>
                </pic:blipFill>
                <pic:spPr>
                  <a:xfrm>
                    <a:off x="0" y="0"/>
                    <a:ext cx="972000" cy="4397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F0BC4"/>
    <w:multiLevelType w:val="multilevel"/>
    <w:tmpl w:val="41A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A7372B"/>
    <w:multiLevelType w:val="hybridMultilevel"/>
    <w:tmpl w:val="50C04F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6AC44D4"/>
    <w:multiLevelType w:val="hybridMultilevel"/>
    <w:tmpl w:val="D0D2BE4A"/>
    <w:lvl w:ilvl="0" w:tplc="040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C58E962C">
      <w:start w:val="31"/>
      <w:numFmt w:val="bullet"/>
      <w:lvlText w:val="-"/>
      <w:lvlJc w:val="left"/>
      <w:pPr>
        <w:ind w:left="3600" w:hanging="360"/>
      </w:pPr>
      <w:rPr>
        <w:rFonts w:ascii="Arial" w:eastAsia="Calibri" w:hAnsi="Arial" w:cs="Arial" w:hint="default"/>
        <w:color w:val="000000"/>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1EC743D"/>
    <w:multiLevelType w:val="multilevel"/>
    <w:tmpl w:val="18E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A182C76"/>
    <w:multiLevelType w:val="hybridMultilevel"/>
    <w:tmpl w:val="AB182E60"/>
    <w:lvl w:ilvl="0" w:tplc="A68CB962">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EDF7CC1"/>
    <w:multiLevelType w:val="multilevel"/>
    <w:tmpl w:val="A3A2138E"/>
    <w:lvl w:ilvl="0">
      <w:start w:val="1"/>
      <w:numFmt w:val="bullet"/>
      <w:pStyle w:val="RGPuce1"/>
      <w:lvlText w:val=""/>
      <w:lvlJc w:val="left"/>
      <w:pPr>
        <w:ind w:left="284" w:hanging="284"/>
      </w:pPr>
      <w:rPr>
        <w:rFonts w:ascii="Symbol" w:hAnsi="Symbol" w:hint="default"/>
        <w:color w:val="auto"/>
      </w:rPr>
    </w:lvl>
    <w:lvl w:ilvl="1">
      <w:start w:val="1"/>
      <w:numFmt w:val="bullet"/>
      <w:pStyle w:val="RGPuce2"/>
      <w:lvlText w:val="•"/>
      <w:lvlJc w:val="left"/>
      <w:pPr>
        <w:ind w:left="1021" w:hanging="170"/>
      </w:pPr>
      <w:rPr>
        <w:rFonts w:ascii="Arial" w:hAnsi="Aria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70497435">
    <w:abstractNumId w:val="6"/>
  </w:num>
  <w:num w:numId="2" w16cid:durableId="1281260098">
    <w:abstractNumId w:val="5"/>
  </w:num>
  <w:num w:numId="3" w16cid:durableId="865411849">
    <w:abstractNumId w:val="2"/>
  </w:num>
  <w:num w:numId="4" w16cid:durableId="1141071135">
    <w:abstractNumId w:val="0"/>
  </w:num>
  <w:num w:numId="5" w16cid:durableId="918976529">
    <w:abstractNumId w:val="3"/>
  </w:num>
  <w:num w:numId="6" w16cid:durableId="202137919">
    <w:abstractNumId w:val="4"/>
  </w:num>
  <w:num w:numId="7" w16cid:durableId="148721029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77"/>
    <w:rsid w:val="00003895"/>
    <w:rsid w:val="00003B04"/>
    <w:rsid w:val="00005859"/>
    <w:rsid w:val="00006E88"/>
    <w:rsid w:val="00006F5A"/>
    <w:rsid w:val="00007AF4"/>
    <w:rsid w:val="0002683C"/>
    <w:rsid w:val="00026AE9"/>
    <w:rsid w:val="00031C67"/>
    <w:rsid w:val="00033D3E"/>
    <w:rsid w:val="000359AE"/>
    <w:rsid w:val="000501F2"/>
    <w:rsid w:val="000552EF"/>
    <w:rsid w:val="00057DD0"/>
    <w:rsid w:val="00073399"/>
    <w:rsid w:val="00087566"/>
    <w:rsid w:val="000A0CE0"/>
    <w:rsid w:val="000A73AA"/>
    <w:rsid w:val="000C0728"/>
    <w:rsid w:val="000C321F"/>
    <w:rsid w:val="000D7435"/>
    <w:rsid w:val="001036CD"/>
    <w:rsid w:val="001230D0"/>
    <w:rsid w:val="00153F64"/>
    <w:rsid w:val="00170D64"/>
    <w:rsid w:val="00172806"/>
    <w:rsid w:val="001814C1"/>
    <w:rsid w:val="001B591C"/>
    <w:rsid w:val="001C0A0D"/>
    <w:rsid w:val="001C0DBA"/>
    <w:rsid w:val="001C432F"/>
    <w:rsid w:val="001C624E"/>
    <w:rsid w:val="001D6F9E"/>
    <w:rsid w:val="001E2192"/>
    <w:rsid w:val="001F05FE"/>
    <w:rsid w:val="00220663"/>
    <w:rsid w:val="0023108B"/>
    <w:rsid w:val="00233353"/>
    <w:rsid w:val="00233B6D"/>
    <w:rsid w:val="00241D17"/>
    <w:rsid w:val="002462C4"/>
    <w:rsid w:val="00251C65"/>
    <w:rsid w:val="00277A73"/>
    <w:rsid w:val="002836DD"/>
    <w:rsid w:val="00291D0F"/>
    <w:rsid w:val="00293E0C"/>
    <w:rsid w:val="002A6A21"/>
    <w:rsid w:val="002B49E2"/>
    <w:rsid w:val="002B7303"/>
    <w:rsid w:val="002B7340"/>
    <w:rsid w:val="002C508D"/>
    <w:rsid w:val="002C5B84"/>
    <w:rsid w:val="002E2E49"/>
    <w:rsid w:val="002E44A2"/>
    <w:rsid w:val="002E7909"/>
    <w:rsid w:val="002F4708"/>
    <w:rsid w:val="002F50BF"/>
    <w:rsid w:val="003033B0"/>
    <w:rsid w:val="003059C4"/>
    <w:rsid w:val="0033129C"/>
    <w:rsid w:val="0034053C"/>
    <w:rsid w:val="0035184B"/>
    <w:rsid w:val="00351C76"/>
    <w:rsid w:val="003531B5"/>
    <w:rsid w:val="00360488"/>
    <w:rsid w:val="0036777E"/>
    <w:rsid w:val="0037701D"/>
    <w:rsid w:val="003864AD"/>
    <w:rsid w:val="00387B7F"/>
    <w:rsid w:val="003A1145"/>
    <w:rsid w:val="003B04BB"/>
    <w:rsid w:val="003B367C"/>
    <w:rsid w:val="003C75B5"/>
    <w:rsid w:val="003D3221"/>
    <w:rsid w:val="003D4D16"/>
    <w:rsid w:val="003E68CC"/>
    <w:rsid w:val="003F0485"/>
    <w:rsid w:val="003F71A9"/>
    <w:rsid w:val="004022B4"/>
    <w:rsid w:val="00415177"/>
    <w:rsid w:val="00423DA7"/>
    <w:rsid w:val="00425677"/>
    <w:rsid w:val="00432D4B"/>
    <w:rsid w:val="0043337C"/>
    <w:rsid w:val="00433EDD"/>
    <w:rsid w:val="004371D6"/>
    <w:rsid w:val="0044219E"/>
    <w:rsid w:val="00445BF1"/>
    <w:rsid w:val="00446876"/>
    <w:rsid w:val="0045216F"/>
    <w:rsid w:val="004566FC"/>
    <w:rsid w:val="0046176B"/>
    <w:rsid w:val="00465CE4"/>
    <w:rsid w:val="00467F26"/>
    <w:rsid w:val="00474969"/>
    <w:rsid w:val="004753F4"/>
    <w:rsid w:val="00485B86"/>
    <w:rsid w:val="004B01BA"/>
    <w:rsid w:val="004B03DA"/>
    <w:rsid w:val="004B1EE4"/>
    <w:rsid w:val="004B47D0"/>
    <w:rsid w:val="004B761B"/>
    <w:rsid w:val="004E280E"/>
    <w:rsid w:val="004E469C"/>
    <w:rsid w:val="004F3B14"/>
    <w:rsid w:val="004F68FB"/>
    <w:rsid w:val="005176D9"/>
    <w:rsid w:val="00520BBF"/>
    <w:rsid w:val="00520E8D"/>
    <w:rsid w:val="005218B6"/>
    <w:rsid w:val="005228B7"/>
    <w:rsid w:val="00541294"/>
    <w:rsid w:val="00544345"/>
    <w:rsid w:val="00545DD0"/>
    <w:rsid w:val="00550172"/>
    <w:rsid w:val="00556EC7"/>
    <w:rsid w:val="00557380"/>
    <w:rsid w:val="00562BB0"/>
    <w:rsid w:val="00563972"/>
    <w:rsid w:val="00570B93"/>
    <w:rsid w:val="005732EA"/>
    <w:rsid w:val="00573D15"/>
    <w:rsid w:val="00573F62"/>
    <w:rsid w:val="00595B55"/>
    <w:rsid w:val="005B10DA"/>
    <w:rsid w:val="005B3471"/>
    <w:rsid w:val="005C775F"/>
    <w:rsid w:val="005C79C5"/>
    <w:rsid w:val="005E0A05"/>
    <w:rsid w:val="005E1FA8"/>
    <w:rsid w:val="0061206E"/>
    <w:rsid w:val="0061682B"/>
    <w:rsid w:val="00621061"/>
    <w:rsid w:val="0063379F"/>
    <w:rsid w:val="00642390"/>
    <w:rsid w:val="006457DF"/>
    <w:rsid w:val="00646166"/>
    <w:rsid w:val="00655A10"/>
    <w:rsid w:val="0066303C"/>
    <w:rsid w:val="00677AC2"/>
    <w:rsid w:val="00682310"/>
    <w:rsid w:val="00682D2F"/>
    <w:rsid w:val="006A7BB9"/>
    <w:rsid w:val="006B0C3E"/>
    <w:rsid w:val="006B2A34"/>
    <w:rsid w:val="006B5C7E"/>
    <w:rsid w:val="006B5CB3"/>
    <w:rsid w:val="006D038F"/>
    <w:rsid w:val="006D6ED6"/>
    <w:rsid w:val="006E27BF"/>
    <w:rsid w:val="006F0567"/>
    <w:rsid w:val="006F1FC5"/>
    <w:rsid w:val="006F3E46"/>
    <w:rsid w:val="00705A01"/>
    <w:rsid w:val="00705F82"/>
    <w:rsid w:val="007237C7"/>
    <w:rsid w:val="0074550A"/>
    <w:rsid w:val="00746001"/>
    <w:rsid w:val="00761DB3"/>
    <w:rsid w:val="00767155"/>
    <w:rsid w:val="007706B2"/>
    <w:rsid w:val="00782A4F"/>
    <w:rsid w:val="00783D1C"/>
    <w:rsid w:val="007913DF"/>
    <w:rsid w:val="007925BE"/>
    <w:rsid w:val="00796A08"/>
    <w:rsid w:val="007A46E2"/>
    <w:rsid w:val="007B47F9"/>
    <w:rsid w:val="007C3991"/>
    <w:rsid w:val="007C61B0"/>
    <w:rsid w:val="007D26A7"/>
    <w:rsid w:val="007D3970"/>
    <w:rsid w:val="007D7113"/>
    <w:rsid w:val="007E152F"/>
    <w:rsid w:val="007E317D"/>
    <w:rsid w:val="007E4F11"/>
    <w:rsid w:val="007E58D7"/>
    <w:rsid w:val="007F68D2"/>
    <w:rsid w:val="0080313B"/>
    <w:rsid w:val="00805013"/>
    <w:rsid w:val="00805FAA"/>
    <w:rsid w:val="008124BD"/>
    <w:rsid w:val="0081404A"/>
    <w:rsid w:val="00814CBC"/>
    <w:rsid w:val="00815B14"/>
    <w:rsid w:val="0081689C"/>
    <w:rsid w:val="008216B0"/>
    <w:rsid w:val="008261E5"/>
    <w:rsid w:val="00826A82"/>
    <w:rsid w:val="00832419"/>
    <w:rsid w:val="00833877"/>
    <w:rsid w:val="008430E7"/>
    <w:rsid w:val="00844956"/>
    <w:rsid w:val="0086168B"/>
    <w:rsid w:val="00863129"/>
    <w:rsid w:val="00866974"/>
    <w:rsid w:val="00872FC1"/>
    <w:rsid w:val="00877117"/>
    <w:rsid w:val="0088124E"/>
    <w:rsid w:val="00881687"/>
    <w:rsid w:val="00886E9C"/>
    <w:rsid w:val="00893D23"/>
    <w:rsid w:val="00894D0B"/>
    <w:rsid w:val="008B0EEA"/>
    <w:rsid w:val="008B37EF"/>
    <w:rsid w:val="008C3A08"/>
    <w:rsid w:val="008C7E44"/>
    <w:rsid w:val="008D0867"/>
    <w:rsid w:val="008E2A6E"/>
    <w:rsid w:val="008F0F07"/>
    <w:rsid w:val="008F2A13"/>
    <w:rsid w:val="00901D4B"/>
    <w:rsid w:val="00902BDD"/>
    <w:rsid w:val="00912C8F"/>
    <w:rsid w:val="009151B8"/>
    <w:rsid w:val="00923A8C"/>
    <w:rsid w:val="00925474"/>
    <w:rsid w:val="00925F58"/>
    <w:rsid w:val="00961657"/>
    <w:rsid w:val="00966C87"/>
    <w:rsid w:val="0096767F"/>
    <w:rsid w:val="00975068"/>
    <w:rsid w:val="00983616"/>
    <w:rsid w:val="00984883"/>
    <w:rsid w:val="00986599"/>
    <w:rsid w:val="009968C5"/>
    <w:rsid w:val="009A06D0"/>
    <w:rsid w:val="009A23AB"/>
    <w:rsid w:val="009A4E24"/>
    <w:rsid w:val="009A643E"/>
    <w:rsid w:val="009B1D56"/>
    <w:rsid w:val="009B59CE"/>
    <w:rsid w:val="009C2921"/>
    <w:rsid w:val="009C36FD"/>
    <w:rsid w:val="009D180E"/>
    <w:rsid w:val="009E35EC"/>
    <w:rsid w:val="009E5C5E"/>
    <w:rsid w:val="009F351D"/>
    <w:rsid w:val="00A012DB"/>
    <w:rsid w:val="00A02FD5"/>
    <w:rsid w:val="00A05240"/>
    <w:rsid w:val="00A10CE9"/>
    <w:rsid w:val="00A17823"/>
    <w:rsid w:val="00A445EA"/>
    <w:rsid w:val="00A46AEA"/>
    <w:rsid w:val="00A602D8"/>
    <w:rsid w:val="00A60A22"/>
    <w:rsid w:val="00A64ACA"/>
    <w:rsid w:val="00A72C8B"/>
    <w:rsid w:val="00A73376"/>
    <w:rsid w:val="00A83F49"/>
    <w:rsid w:val="00A86EC8"/>
    <w:rsid w:val="00AA2D44"/>
    <w:rsid w:val="00AB78FC"/>
    <w:rsid w:val="00AC4842"/>
    <w:rsid w:val="00AE0ED9"/>
    <w:rsid w:val="00AE5637"/>
    <w:rsid w:val="00AF152D"/>
    <w:rsid w:val="00AF4215"/>
    <w:rsid w:val="00B208FE"/>
    <w:rsid w:val="00B31563"/>
    <w:rsid w:val="00B32F4C"/>
    <w:rsid w:val="00B36E9B"/>
    <w:rsid w:val="00B43CE0"/>
    <w:rsid w:val="00B518EC"/>
    <w:rsid w:val="00B556B5"/>
    <w:rsid w:val="00B61EBC"/>
    <w:rsid w:val="00B64F18"/>
    <w:rsid w:val="00B6505E"/>
    <w:rsid w:val="00B87EC5"/>
    <w:rsid w:val="00B92FB1"/>
    <w:rsid w:val="00B93C8B"/>
    <w:rsid w:val="00BC12EB"/>
    <w:rsid w:val="00BE38DD"/>
    <w:rsid w:val="00BF6FD1"/>
    <w:rsid w:val="00C10E75"/>
    <w:rsid w:val="00C1695F"/>
    <w:rsid w:val="00C21B90"/>
    <w:rsid w:val="00C238D6"/>
    <w:rsid w:val="00C31F14"/>
    <w:rsid w:val="00C34D0F"/>
    <w:rsid w:val="00C37FBD"/>
    <w:rsid w:val="00C41969"/>
    <w:rsid w:val="00C439C6"/>
    <w:rsid w:val="00C53A26"/>
    <w:rsid w:val="00C64900"/>
    <w:rsid w:val="00C6758B"/>
    <w:rsid w:val="00C76C9C"/>
    <w:rsid w:val="00C8105C"/>
    <w:rsid w:val="00C92A0D"/>
    <w:rsid w:val="00C94DB1"/>
    <w:rsid w:val="00CA5361"/>
    <w:rsid w:val="00CB4F80"/>
    <w:rsid w:val="00CB55C4"/>
    <w:rsid w:val="00CD2F3C"/>
    <w:rsid w:val="00CD51D1"/>
    <w:rsid w:val="00CF260D"/>
    <w:rsid w:val="00CF6031"/>
    <w:rsid w:val="00CF6B83"/>
    <w:rsid w:val="00D04052"/>
    <w:rsid w:val="00D078DB"/>
    <w:rsid w:val="00D10E68"/>
    <w:rsid w:val="00D15251"/>
    <w:rsid w:val="00D265D9"/>
    <w:rsid w:val="00D37C29"/>
    <w:rsid w:val="00D464D6"/>
    <w:rsid w:val="00D54C2A"/>
    <w:rsid w:val="00D61552"/>
    <w:rsid w:val="00D61CEA"/>
    <w:rsid w:val="00D63C02"/>
    <w:rsid w:val="00D73068"/>
    <w:rsid w:val="00D746BF"/>
    <w:rsid w:val="00D749EB"/>
    <w:rsid w:val="00D75EB5"/>
    <w:rsid w:val="00D87892"/>
    <w:rsid w:val="00D90429"/>
    <w:rsid w:val="00D94A5B"/>
    <w:rsid w:val="00D9637D"/>
    <w:rsid w:val="00DA0554"/>
    <w:rsid w:val="00DA18FB"/>
    <w:rsid w:val="00DA27E1"/>
    <w:rsid w:val="00DA5B59"/>
    <w:rsid w:val="00DA6C08"/>
    <w:rsid w:val="00DC7494"/>
    <w:rsid w:val="00DC7837"/>
    <w:rsid w:val="00DC7D93"/>
    <w:rsid w:val="00DE1443"/>
    <w:rsid w:val="00DE7021"/>
    <w:rsid w:val="00DE72B9"/>
    <w:rsid w:val="00E27DE3"/>
    <w:rsid w:val="00E30978"/>
    <w:rsid w:val="00E31A61"/>
    <w:rsid w:val="00E35CC3"/>
    <w:rsid w:val="00E3756C"/>
    <w:rsid w:val="00E63DAF"/>
    <w:rsid w:val="00E649E9"/>
    <w:rsid w:val="00E66661"/>
    <w:rsid w:val="00E66807"/>
    <w:rsid w:val="00E74951"/>
    <w:rsid w:val="00E7706E"/>
    <w:rsid w:val="00E81176"/>
    <w:rsid w:val="00E94723"/>
    <w:rsid w:val="00EA248C"/>
    <w:rsid w:val="00EA5972"/>
    <w:rsid w:val="00EB199D"/>
    <w:rsid w:val="00EB2FC3"/>
    <w:rsid w:val="00EB7260"/>
    <w:rsid w:val="00EC4E0D"/>
    <w:rsid w:val="00EE3F4A"/>
    <w:rsid w:val="00EE4C98"/>
    <w:rsid w:val="00EE6315"/>
    <w:rsid w:val="00EE68BA"/>
    <w:rsid w:val="00EF0DFB"/>
    <w:rsid w:val="00F0167E"/>
    <w:rsid w:val="00F13FB5"/>
    <w:rsid w:val="00F22D0C"/>
    <w:rsid w:val="00F230B2"/>
    <w:rsid w:val="00F2694F"/>
    <w:rsid w:val="00F359D2"/>
    <w:rsid w:val="00F46A88"/>
    <w:rsid w:val="00F5284E"/>
    <w:rsid w:val="00F61571"/>
    <w:rsid w:val="00F63686"/>
    <w:rsid w:val="00F64FAA"/>
    <w:rsid w:val="00F67043"/>
    <w:rsid w:val="00F97755"/>
    <w:rsid w:val="00FA062C"/>
    <w:rsid w:val="00FB1305"/>
    <w:rsid w:val="00FB2510"/>
    <w:rsid w:val="00FB5BA1"/>
    <w:rsid w:val="00FC0E88"/>
    <w:rsid w:val="00FC47CB"/>
    <w:rsid w:val="00FD4AF4"/>
    <w:rsid w:val="00FD6CFC"/>
    <w:rsid w:val="00FE428A"/>
    <w:rsid w:val="00FE512B"/>
    <w:rsid w:val="00FF5F2A"/>
    <w:rsid w:val="00FF68A6"/>
    <w:rsid w:val="18E5BA2D"/>
    <w:rsid w:val="4918C62D"/>
    <w:rsid w:val="557FDD4D"/>
    <w:rsid w:val="5C4E2CA5"/>
    <w:rsid w:val="6F76D5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B4351F"/>
  <w15:chartTrackingRefBased/>
  <w15:docId w15:val="{CDE68025-D338-D240-AC8F-AE4564421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r-FR" w:eastAsia="en-US" w:bidi="ar-SA"/>
      </w:rPr>
    </w:rPrDefault>
    <w:pPrDefault/>
  </w:docDefaults>
  <w:latentStyles w:defLockedState="0" w:defUIPriority="99" w:defSemiHidden="0" w:defUnhideWhenUsed="0" w:defQFormat="0" w:count="376">
    <w:lsdException w:name="Normal" w:uiPriority="0" w:qFormat="1"/>
    <w:lsdException w:name="heading 1" w:semiHidden="1" w:uiPriority="0" w:qFormat="1"/>
    <w:lsdException w:name="heading 2" w:semiHidden="1" w:uiPriority="0"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iPriority="0" w:unhideWhenUsed="1"/>
    <w:lsdException w:name="footer" w:semiHidden="1" w:uiPriority="0"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0" w:unhideWhenUsed="1"/>
    <w:lsdException w:name="FollowedHyperlink" w:semiHidden="1" w:unhideWhenUsed="1"/>
    <w:lsdException w:name="Strong" w:semiHidden="1" w:uiPriority="22" w:qFormat="1"/>
    <w:lsdException w:name="Emphasis" w:semiHidden="1" w:uiPriority="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0E88"/>
    <w:pPr>
      <w:spacing w:before="120" w:line="288" w:lineRule="auto"/>
    </w:pPr>
    <w:rPr>
      <w:sz w:val="18"/>
    </w:rPr>
  </w:style>
  <w:style w:type="paragraph" w:styleId="berschrift1">
    <w:name w:val="heading 1"/>
    <w:basedOn w:val="Standard"/>
    <w:link w:val="berschrift1Zchn"/>
    <w:qFormat/>
    <w:rsid w:val="00415177"/>
    <w:pPr>
      <w:widowControl w:val="0"/>
      <w:autoSpaceDE w:val="0"/>
      <w:autoSpaceDN w:val="0"/>
      <w:spacing w:before="95" w:line="240" w:lineRule="auto"/>
      <w:ind w:left="113"/>
      <w:outlineLvl w:val="0"/>
    </w:pPr>
    <w:rPr>
      <w:rFonts w:ascii="Arial" w:eastAsia="Arial" w:hAnsi="Arial" w:cs="Arial"/>
      <w:b/>
      <w:bCs/>
      <w:sz w:val="24"/>
      <w:szCs w:val="24"/>
    </w:rPr>
  </w:style>
  <w:style w:type="paragraph" w:styleId="berschrift2">
    <w:name w:val="heading 2"/>
    <w:basedOn w:val="Standard"/>
    <w:next w:val="Standard"/>
    <w:link w:val="berschrift2Zchn"/>
    <w:qFormat/>
    <w:rsid w:val="009C2921"/>
    <w:pPr>
      <w:keepNext/>
      <w:spacing w:before="0" w:after="580" w:line="400" w:lineRule="exact"/>
      <w:jc w:val="center"/>
      <w:outlineLvl w:val="1"/>
    </w:pPr>
    <w:rPr>
      <w:rFonts w:ascii="Arial Black" w:eastAsia="Times New Roman" w:hAnsi="Arial Black" w:cs="Times New Roman"/>
      <w:b/>
      <w:sz w:val="36"/>
      <w:lang w:val="de-DE" w:eastAsia="de-DE"/>
    </w:rPr>
  </w:style>
  <w:style w:type="paragraph" w:styleId="berschrift3">
    <w:name w:val="heading 3"/>
    <w:basedOn w:val="Standard"/>
    <w:next w:val="Standard"/>
    <w:link w:val="berschrift3Zchn"/>
    <w:uiPriority w:val="9"/>
    <w:semiHidden/>
    <w:qFormat/>
    <w:rsid w:val="00B43CE0"/>
    <w:pPr>
      <w:keepNext/>
      <w:keepLines/>
      <w:spacing w:before="40"/>
      <w:outlineLvl w:val="2"/>
    </w:pPr>
    <w:rPr>
      <w:rFonts w:asciiTheme="majorHAnsi" w:eastAsiaTheme="majorEastAsia" w:hAnsiTheme="majorHAnsi" w:cstheme="majorBidi"/>
      <w:color w:val="207E77"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rsid w:val="00F22D0C"/>
    <w:pPr>
      <w:spacing w:before="0" w:line="240" w:lineRule="auto"/>
    </w:pPr>
    <w:rPr>
      <w:sz w:val="14"/>
    </w:rPr>
  </w:style>
  <w:style w:type="character" w:customStyle="1" w:styleId="KopfzeileZchn">
    <w:name w:val="Kopfzeile Zchn"/>
    <w:aliases w:val="Renault Kopfzeile Datum Zchn"/>
    <w:basedOn w:val="Absatz-Standardschriftart"/>
    <w:link w:val="Kopfzeile"/>
    <w:uiPriority w:val="99"/>
    <w:rsid w:val="008C7E44"/>
    <w:rPr>
      <w:sz w:val="14"/>
    </w:rPr>
  </w:style>
  <w:style w:type="paragraph" w:styleId="Fuzeile">
    <w:name w:val="footer"/>
    <w:basedOn w:val="Standard"/>
    <w:link w:val="FuzeileZchn"/>
    <w:rsid w:val="007D3970"/>
    <w:pPr>
      <w:spacing w:before="0" w:line="240" w:lineRule="auto"/>
    </w:pPr>
    <w:rPr>
      <w:sz w:val="14"/>
    </w:rPr>
  </w:style>
  <w:style w:type="character" w:customStyle="1" w:styleId="FuzeileZchn">
    <w:name w:val="Fußzeile Zchn"/>
    <w:basedOn w:val="Absatz-Standardschriftart"/>
    <w:link w:val="Fuzeile"/>
    <w:uiPriority w:val="99"/>
    <w:semiHidden/>
    <w:rsid w:val="008C7E44"/>
    <w:rPr>
      <w:sz w:val="14"/>
    </w:rPr>
  </w:style>
  <w:style w:type="table" w:styleId="Tabellenraster">
    <w:name w:val="Table Grid"/>
    <w:basedOn w:val="NormaleTabelle"/>
    <w:uiPriority w:val="59"/>
    <w:rsid w:val="007D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Renault-Hyperlink"/>
    <w:basedOn w:val="Absatz-Standardschriftart"/>
    <w:semiHidden/>
    <w:rsid w:val="00DA0554"/>
    <w:rPr>
      <w:color w:val="988C7F" w:themeColor="background2"/>
      <w:u w:val="none"/>
    </w:rPr>
  </w:style>
  <w:style w:type="character" w:styleId="Seitenzahl">
    <w:name w:val="page number"/>
    <w:aliases w:val="Renault"/>
    <w:basedOn w:val="Absatz-Standardschriftart"/>
    <w:uiPriority w:val="99"/>
    <w:rsid w:val="007D3970"/>
  </w:style>
  <w:style w:type="character" w:styleId="BesuchterLink">
    <w:name w:val="FollowedHyperlink"/>
    <w:basedOn w:val="Absatz-Standardschriftart"/>
    <w:uiPriority w:val="99"/>
    <w:semiHidden/>
    <w:rsid w:val="00DA0554"/>
    <w:rPr>
      <w:color w:val="988C7F" w:themeColor="background2"/>
      <w:u w:val="none"/>
    </w:rPr>
  </w:style>
  <w:style w:type="paragraph" w:customStyle="1" w:styleId="RGTitreCP">
    <w:name w:val="RG_Titre CP"/>
    <w:basedOn w:val="Standard"/>
    <w:next w:val="Standard"/>
    <w:uiPriority w:val="2"/>
    <w:qFormat/>
    <w:rsid w:val="00FF5F2A"/>
    <w:pPr>
      <w:spacing w:before="0" w:after="240" w:line="216" w:lineRule="auto"/>
    </w:pPr>
    <w:rPr>
      <w:rFonts w:asciiTheme="majorHAnsi" w:hAnsiTheme="majorHAnsi"/>
      <w:sz w:val="50"/>
      <w:szCs w:val="50"/>
    </w:rPr>
  </w:style>
  <w:style w:type="paragraph" w:customStyle="1" w:styleId="RGTitre1">
    <w:name w:val="RG_Titre 1"/>
    <w:basedOn w:val="Standard"/>
    <w:next w:val="Standard"/>
    <w:uiPriority w:val="3"/>
    <w:qFormat/>
    <w:rsid w:val="00573F62"/>
    <w:pPr>
      <w:keepNext/>
      <w:spacing w:before="360" w:after="240" w:line="240" w:lineRule="auto"/>
      <w:outlineLvl w:val="0"/>
    </w:pPr>
    <w:rPr>
      <w:color w:val="2E2ECA" w:themeColor="text2"/>
      <w:sz w:val="32"/>
      <w:szCs w:val="32"/>
    </w:rPr>
  </w:style>
  <w:style w:type="character" w:styleId="Platzhaltertext">
    <w:name w:val="Placeholder Text"/>
    <w:basedOn w:val="Absatz-Standardschriftart"/>
    <w:uiPriority w:val="99"/>
    <w:semiHidden/>
    <w:rsid w:val="008C7E44"/>
    <w:rPr>
      <w:color w:val="808080"/>
    </w:rPr>
  </w:style>
  <w:style w:type="paragraph" w:customStyle="1" w:styleId="RGTitre2">
    <w:name w:val="RG_Titre 2"/>
    <w:basedOn w:val="Standard"/>
    <w:next w:val="Standard"/>
    <w:uiPriority w:val="3"/>
    <w:qFormat/>
    <w:rsid w:val="008C7E44"/>
    <w:pPr>
      <w:keepNext/>
      <w:spacing w:before="240" w:after="240" w:line="240" w:lineRule="auto"/>
      <w:outlineLvl w:val="1"/>
    </w:pPr>
    <w:rPr>
      <w:b/>
      <w:sz w:val="24"/>
      <w:szCs w:val="24"/>
    </w:rPr>
  </w:style>
  <w:style w:type="paragraph" w:customStyle="1" w:styleId="RGNote">
    <w:name w:val="RG_Note"/>
    <w:basedOn w:val="Standard"/>
    <w:uiPriority w:val="5"/>
    <w:qFormat/>
    <w:rsid w:val="00705F82"/>
    <w:pPr>
      <w:pBdr>
        <w:top w:val="single" w:sz="8" w:space="5" w:color="2E2ECA" w:themeColor="text2"/>
        <w:left w:val="single" w:sz="8" w:space="10" w:color="2E2ECA" w:themeColor="text2"/>
        <w:bottom w:val="single" w:sz="8" w:space="5" w:color="2E2ECA" w:themeColor="text2"/>
        <w:right w:val="single" w:sz="8" w:space="10" w:color="2E2ECA" w:themeColor="text2"/>
      </w:pBdr>
      <w:spacing w:before="0"/>
      <w:ind w:left="227" w:right="227"/>
    </w:pPr>
    <w:rPr>
      <w:color w:val="2E2ECA" w:themeColor="text2"/>
      <w:sz w:val="16"/>
      <w:szCs w:val="16"/>
    </w:rPr>
  </w:style>
  <w:style w:type="paragraph" w:customStyle="1" w:styleId="RGVerbatim">
    <w:name w:val="RG_Verbatim"/>
    <w:basedOn w:val="Standard"/>
    <w:uiPriority w:val="5"/>
    <w:qFormat/>
    <w:rsid w:val="00966C87"/>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ind w:left="227" w:right="227"/>
    </w:pPr>
    <w:rPr>
      <w:color w:val="988C7F" w:themeColor="background2"/>
    </w:rPr>
  </w:style>
  <w:style w:type="paragraph" w:customStyle="1" w:styleId="RGPuce1">
    <w:name w:val="RG_Puce 1"/>
    <w:basedOn w:val="Standard"/>
    <w:uiPriority w:val="4"/>
    <w:qFormat/>
    <w:rsid w:val="00FC0E88"/>
    <w:pPr>
      <w:numPr>
        <w:numId w:val="1"/>
      </w:numPr>
      <w:ind w:left="624" w:hanging="170"/>
    </w:pPr>
  </w:style>
  <w:style w:type="paragraph" w:customStyle="1" w:styleId="RGPuce2">
    <w:name w:val="RG_Puce 2"/>
    <w:basedOn w:val="Standard"/>
    <w:uiPriority w:val="4"/>
    <w:qFormat/>
    <w:rsid w:val="00FC0E88"/>
    <w:pPr>
      <w:numPr>
        <w:ilvl w:val="1"/>
        <w:numId w:val="1"/>
      </w:numPr>
      <w:ind w:left="1191"/>
      <w:contextualSpacing/>
    </w:pPr>
  </w:style>
  <w:style w:type="paragraph" w:customStyle="1" w:styleId="RGTitre3">
    <w:name w:val="RG_Titre 3"/>
    <w:basedOn w:val="Standard"/>
    <w:next w:val="Standard"/>
    <w:uiPriority w:val="3"/>
    <w:qFormat/>
    <w:rsid w:val="00FC0E88"/>
    <w:pPr>
      <w:keepNext/>
      <w:spacing w:before="240" w:after="240"/>
    </w:pPr>
    <w:rPr>
      <w:b/>
      <w:color w:val="988C7F" w:themeColor="background2"/>
      <w:sz w:val="24"/>
      <w:szCs w:val="24"/>
    </w:rPr>
  </w:style>
  <w:style w:type="paragraph" w:customStyle="1" w:styleId="RGApropos">
    <w:name w:val="RG_A propos"/>
    <w:basedOn w:val="Standard"/>
    <w:uiPriority w:val="6"/>
    <w:qFormat/>
    <w:rsid w:val="00FC0E88"/>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spacing w:before="0"/>
      <w:ind w:left="227" w:right="227"/>
    </w:pPr>
    <w:rPr>
      <w:color w:val="988C7F" w:themeColor="background2"/>
      <w:sz w:val="14"/>
      <w:szCs w:val="14"/>
    </w:rPr>
  </w:style>
  <w:style w:type="character" w:styleId="NichtaufgelsteErwhnung">
    <w:name w:val="Unresolved Mention"/>
    <w:basedOn w:val="Absatz-Standardschriftart"/>
    <w:uiPriority w:val="99"/>
    <w:semiHidden/>
    <w:unhideWhenUsed/>
    <w:rsid w:val="0046176B"/>
    <w:rPr>
      <w:color w:val="605E5C"/>
      <w:shd w:val="clear" w:color="auto" w:fill="E1DFDD"/>
    </w:rPr>
  </w:style>
  <w:style w:type="paragraph" w:styleId="Listenabsatz">
    <w:name w:val="List Paragraph"/>
    <w:basedOn w:val="Standard"/>
    <w:uiPriority w:val="34"/>
    <w:qFormat/>
    <w:rsid w:val="00C76C9C"/>
    <w:pPr>
      <w:ind w:left="720"/>
      <w:contextualSpacing/>
    </w:pPr>
  </w:style>
  <w:style w:type="paragraph" w:customStyle="1" w:styleId="1Dachzeile">
    <w:name w:val="1_Dachzeile"/>
    <w:basedOn w:val="Standard"/>
    <w:next w:val="Standard"/>
    <w:rsid w:val="000A0CE0"/>
    <w:pPr>
      <w:widowControl w:val="0"/>
      <w:spacing w:before="1320" w:after="120" w:line="240" w:lineRule="auto"/>
      <w:ind w:right="27"/>
    </w:pPr>
    <w:rPr>
      <w:rFonts w:ascii="Arial" w:eastAsia="Times New Roman" w:hAnsi="Arial" w:cs="Times New Roman"/>
      <w:b/>
      <w:bCs/>
      <w:caps/>
      <w:sz w:val="20"/>
      <w:lang w:val="de-DE" w:eastAsia="de-DE"/>
    </w:rPr>
  </w:style>
  <w:style w:type="paragraph" w:customStyle="1" w:styleId="2Headline">
    <w:name w:val="2_Headline"/>
    <w:basedOn w:val="Standard"/>
    <w:next w:val="Standard"/>
    <w:rsid w:val="000552EF"/>
    <w:pPr>
      <w:widowControl w:val="0"/>
      <w:spacing w:before="0" w:after="360" w:line="400" w:lineRule="atLeast"/>
      <w:ind w:right="27"/>
    </w:pPr>
    <w:rPr>
      <w:rFonts w:ascii="Arial" w:eastAsia="Arial Unicode MS" w:hAnsi="Arial" w:cs="Times New Roman"/>
      <w:b/>
      <w:bCs/>
      <w:caps/>
      <w:sz w:val="32"/>
      <w:lang w:val="de-DE" w:eastAsia="de-DE"/>
    </w:rPr>
  </w:style>
  <w:style w:type="paragraph" w:customStyle="1" w:styleId="3Einleitung">
    <w:name w:val="3_Einleitung"/>
    <w:basedOn w:val="Standard"/>
    <w:next w:val="Standard"/>
    <w:link w:val="3EinleitungZchn"/>
    <w:qFormat/>
    <w:rsid w:val="00EE3F4A"/>
    <w:pPr>
      <w:spacing w:before="0" w:after="120" w:line="240" w:lineRule="auto"/>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EE3F4A"/>
    <w:rPr>
      <w:rFonts w:ascii="Arial" w:eastAsia="Calibri" w:hAnsi="Arial" w:cs="Arial"/>
      <w:b/>
      <w:color w:val="000000"/>
      <w:sz w:val="22"/>
      <w:szCs w:val="22"/>
      <w:lang w:val="pt-BR" w:eastAsia="fr-FR"/>
    </w:rPr>
  </w:style>
  <w:style w:type="paragraph" w:customStyle="1" w:styleId="4Lauftext">
    <w:name w:val="4_Lauftext"/>
    <w:basedOn w:val="Standard"/>
    <w:link w:val="4LauftextZchn"/>
    <w:qFormat/>
    <w:rsid w:val="00B31563"/>
    <w:pPr>
      <w:autoSpaceDE w:val="0"/>
      <w:autoSpaceDN w:val="0"/>
      <w:adjustRightInd w:val="0"/>
      <w:spacing w:after="240" w:line="280" w:lineRule="atLeast"/>
      <w:jc w:val="both"/>
    </w:pPr>
    <w:rPr>
      <w:rFonts w:ascii="Arial" w:eastAsia="Calibri" w:hAnsi="Arial" w:cs="Arial"/>
      <w:color w:val="000000"/>
      <w:sz w:val="20"/>
    </w:rPr>
  </w:style>
  <w:style w:type="paragraph" w:customStyle="1" w:styleId="5Zwischentitel">
    <w:name w:val="5_Zwischentitel"/>
    <w:basedOn w:val="Standard"/>
    <w:next w:val="4Lauftext"/>
    <w:link w:val="5ZwischentitelZchn"/>
    <w:rsid w:val="00B31563"/>
    <w:pPr>
      <w:widowControl w:val="0"/>
      <w:spacing w:before="0" w:line="340" w:lineRule="atLeast"/>
      <w:ind w:right="28"/>
    </w:pPr>
    <w:rPr>
      <w:rFonts w:ascii="Arial" w:eastAsia="Times New Roman" w:hAnsi="Arial" w:cs="Times New Roman"/>
      <w:b/>
      <w:bCs/>
      <w:caps/>
      <w:sz w:val="22"/>
      <w:lang w:val="de-DE" w:eastAsia="de-DE"/>
    </w:rPr>
  </w:style>
  <w:style w:type="character" w:customStyle="1" w:styleId="5ZwischentitelZchn">
    <w:name w:val="5_Zwischentitel Zchn"/>
    <w:link w:val="5Zwischentitel"/>
    <w:rsid w:val="00B31563"/>
    <w:rPr>
      <w:rFonts w:ascii="Arial" w:eastAsia="Times New Roman" w:hAnsi="Arial" w:cs="Times New Roman"/>
      <w:b/>
      <w:bCs/>
      <w:caps/>
      <w:sz w:val="22"/>
      <w:lang w:val="de-DE" w:eastAsia="de-DE"/>
    </w:rPr>
  </w:style>
  <w:style w:type="paragraph" w:customStyle="1" w:styleId="Ansprechpartner">
    <w:name w:val="Ansprechpartner"/>
    <w:basedOn w:val="Standard"/>
    <w:link w:val="AnsprechpartnerZchnZchn"/>
    <w:rsid w:val="00FE512B"/>
    <w:pPr>
      <w:numPr>
        <w:ilvl w:val="12"/>
      </w:numPr>
      <w:suppressAutoHyphens/>
      <w:spacing w:before="360" w:line="260" w:lineRule="atLeast"/>
      <w:ind w:right="27"/>
    </w:pPr>
    <w:rPr>
      <w:rFonts w:ascii="Arial" w:eastAsia="Times New Roman" w:hAnsi="Arial" w:cs="Times New Roman"/>
      <w:b/>
      <w:bCs/>
      <w:caps/>
      <w:sz w:val="22"/>
      <w:lang w:val="de-DE" w:eastAsia="de-DE"/>
    </w:rPr>
  </w:style>
  <w:style w:type="paragraph" w:customStyle="1" w:styleId="AnsprechpartnerText">
    <w:name w:val="Ansprechpartner_Text"/>
    <w:basedOn w:val="Standard"/>
    <w:link w:val="AnsprechpartnerTextChar"/>
    <w:rsid w:val="00FE512B"/>
    <w:pPr>
      <w:numPr>
        <w:ilvl w:val="12"/>
      </w:numPr>
      <w:suppressAutoHyphens/>
      <w:spacing w:line="260" w:lineRule="atLeast"/>
      <w:ind w:right="28"/>
    </w:pPr>
    <w:rPr>
      <w:rFonts w:ascii="Arial" w:eastAsia="Times New Roman" w:hAnsi="Arial" w:cs="Times New Roman"/>
      <w:sz w:val="22"/>
      <w:lang w:val="de-DE" w:eastAsia="de-DE"/>
    </w:rPr>
  </w:style>
  <w:style w:type="character" w:customStyle="1" w:styleId="AnsprechpartnerTextChar">
    <w:name w:val="Ansprechpartner_Text Char"/>
    <w:link w:val="AnsprechpartnerText"/>
    <w:locked/>
    <w:rsid w:val="00FE512B"/>
    <w:rPr>
      <w:rFonts w:ascii="Arial" w:eastAsia="Times New Roman" w:hAnsi="Arial" w:cs="Times New Roman"/>
      <w:sz w:val="22"/>
      <w:lang w:val="de-DE" w:eastAsia="de-DE"/>
    </w:rPr>
  </w:style>
  <w:style w:type="character" w:customStyle="1" w:styleId="AnsprechpartnerZchnZchn">
    <w:name w:val="Ansprechpartner Zchn Zchn"/>
    <w:basedOn w:val="Absatz-Standardschriftart"/>
    <w:link w:val="Ansprechpartner"/>
    <w:rsid w:val="00FE512B"/>
    <w:rPr>
      <w:rFonts w:ascii="Arial" w:eastAsia="Times New Roman" w:hAnsi="Arial" w:cs="Times New Roman"/>
      <w:b/>
      <w:bCs/>
      <w:caps/>
      <w:sz w:val="22"/>
      <w:lang w:val="de-DE" w:eastAsia="de-DE"/>
    </w:rPr>
  </w:style>
  <w:style w:type="character" w:customStyle="1" w:styleId="berschrift1Zchn">
    <w:name w:val="Überschrift 1 Zchn"/>
    <w:basedOn w:val="Absatz-Standardschriftart"/>
    <w:link w:val="berschrift1"/>
    <w:uiPriority w:val="1"/>
    <w:rsid w:val="00415177"/>
    <w:rPr>
      <w:rFonts w:ascii="Arial" w:eastAsia="Arial" w:hAnsi="Arial" w:cs="Arial"/>
      <w:b/>
      <w:bCs/>
      <w:sz w:val="24"/>
      <w:szCs w:val="24"/>
    </w:rPr>
  </w:style>
  <w:style w:type="paragraph" w:styleId="Textkrper">
    <w:name w:val="Body Text"/>
    <w:basedOn w:val="Standard"/>
    <w:link w:val="TextkrperZchn"/>
    <w:uiPriority w:val="1"/>
    <w:qFormat/>
    <w:rsid w:val="00415177"/>
    <w:pPr>
      <w:widowControl w:val="0"/>
      <w:autoSpaceDE w:val="0"/>
      <w:autoSpaceDN w:val="0"/>
      <w:spacing w:before="0" w:line="240" w:lineRule="auto"/>
    </w:pPr>
    <w:rPr>
      <w:rFonts w:ascii="Trebuchet MS" w:eastAsia="Trebuchet MS" w:hAnsi="Trebuchet MS" w:cs="Trebuchet MS"/>
      <w:sz w:val="24"/>
      <w:szCs w:val="24"/>
    </w:rPr>
  </w:style>
  <w:style w:type="character" w:customStyle="1" w:styleId="TextkrperZchn">
    <w:name w:val="Textkörper Zchn"/>
    <w:basedOn w:val="Absatz-Standardschriftart"/>
    <w:link w:val="Textkrper"/>
    <w:uiPriority w:val="1"/>
    <w:rsid w:val="00415177"/>
    <w:rPr>
      <w:rFonts w:ascii="Trebuchet MS" w:eastAsia="Trebuchet MS" w:hAnsi="Trebuchet MS" w:cs="Trebuchet MS"/>
      <w:sz w:val="24"/>
      <w:szCs w:val="24"/>
    </w:rPr>
  </w:style>
  <w:style w:type="paragraph" w:customStyle="1" w:styleId="Currenttext">
    <w:name w:val="Current text"/>
    <w:basedOn w:val="Standard"/>
    <w:qFormat/>
    <w:rsid w:val="0088124E"/>
    <w:pPr>
      <w:spacing w:before="0" w:line="256" w:lineRule="exact"/>
    </w:pPr>
    <w:rPr>
      <w:rFonts w:ascii="Arial" w:hAnsi="Arial" w:cs="Arial"/>
      <w:szCs w:val="18"/>
    </w:rPr>
  </w:style>
  <w:style w:type="character" w:styleId="Kommentarzeichen">
    <w:name w:val="annotation reference"/>
    <w:basedOn w:val="Absatz-Standardschriftart"/>
    <w:semiHidden/>
    <w:unhideWhenUsed/>
    <w:rsid w:val="007706B2"/>
    <w:rPr>
      <w:sz w:val="16"/>
      <w:szCs w:val="16"/>
    </w:rPr>
  </w:style>
  <w:style w:type="paragraph" w:styleId="Kommentartext">
    <w:name w:val="annotation text"/>
    <w:basedOn w:val="Standard"/>
    <w:link w:val="KommentartextZchn"/>
    <w:unhideWhenUsed/>
    <w:rsid w:val="007706B2"/>
    <w:pPr>
      <w:spacing w:before="0" w:after="160" w:line="240" w:lineRule="auto"/>
    </w:pPr>
    <w:rPr>
      <w:sz w:val="20"/>
      <w:lang w:val="en-US"/>
    </w:rPr>
  </w:style>
  <w:style w:type="character" w:customStyle="1" w:styleId="KommentartextZchn">
    <w:name w:val="Kommentartext Zchn"/>
    <w:basedOn w:val="Absatz-Standardschriftart"/>
    <w:link w:val="Kommentartext"/>
    <w:rsid w:val="007706B2"/>
    <w:rPr>
      <w:lang w:val="en-US"/>
    </w:rPr>
  </w:style>
  <w:style w:type="paragraph" w:customStyle="1" w:styleId="msipfootere6ab8ed6">
    <w:name w:val="msipfootere6ab8ed6"/>
    <w:basedOn w:val="Standard"/>
    <w:rsid w:val="007706B2"/>
    <w:pPr>
      <w:spacing w:before="100" w:beforeAutospacing="1" w:after="100" w:afterAutospacing="1" w:line="240" w:lineRule="auto"/>
    </w:pPr>
    <w:rPr>
      <w:rFonts w:ascii="Calibri" w:hAnsi="Calibri" w:cs="Calibri"/>
      <w:sz w:val="22"/>
      <w:szCs w:val="22"/>
      <w:lang w:eastAsia="fr-FR"/>
    </w:rPr>
  </w:style>
  <w:style w:type="character" w:customStyle="1" w:styleId="4LauftextZchn">
    <w:name w:val="4_Lauftext Zchn"/>
    <w:link w:val="4Lauftext"/>
    <w:rsid w:val="00805013"/>
    <w:rPr>
      <w:rFonts w:ascii="Arial" w:eastAsia="Calibri" w:hAnsi="Arial" w:cs="Arial"/>
      <w:color w:val="000000"/>
    </w:rPr>
  </w:style>
  <w:style w:type="paragraph" w:customStyle="1" w:styleId="4aBulletpoints">
    <w:name w:val="4a_Bulletpoints"/>
    <w:basedOn w:val="Standard"/>
    <w:rsid w:val="00805013"/>
    <w:pPr>
      <w:numPr>
        <w:numId w:val="2"/>
      </w:numPr>
      <w:autoSpaceDE w:val="0"/>
      <w:autoSpaceDN w:val="0"/>
      <w:adjustRightInd w:val="0"/>
      <w:spacing w:after="120" w:line="280" w:lineRule="atLeast"/>
      <w:ind w:right="28"/>
      <w:jc w:val="both"/>
    </w:pPr>
    <w:rPr>
      <w:rFonts w:ascii="Arial" w:eastAsia="Calibri" w:hAnsi="Arial" w:cs="Arial"/>
      <w:color w:val="000000"/>
      <w:sz w:val="20"/>
    </w:rPr>
  </w:style>
  <w:style w:type="paragraph" w:styleId="Funotentext">
    <w:name w:val="footnote text"/>
    <w:basedOn w:val="Standard"/>
    <w:link w:val="FunotentextZchn"/>
    <w:uiPriority w:val="99"/>
    <w:unhideWhenUsed/>
    <w:rsid w:val="00805013"/>
    <w:pPr>
      <w:spacing w:before="0" w:line="240" w:lineRule="auto"/>
    </w:pPr>
    <w:rPr>
      <w:rFonts w:ascii="Times New Roman" w:eastAsia="Times New Roman" w:hAnsi="Times New Roman" w:cs="Times New Roman"/>
      <w:sz w:val="20"/>
      <w:lang w:val="de-DE" w:eastAsia="de-DE"/>
    </w:rPr>
  </w:style>
  <w:style w:type="character" w:customStyle="1" w:styleId="FunotentextZchn">
    <w:name w:val="Fußnotentext Zchn"/>
    <w:basedOn w:val="Absatz-Standardschriftart"/>
    <w:link w:val="Funotentext"/>
    <w:uiPriority w:val="99"/>
    <w:rsid w:val="00805013"/>
    <w:rPr>
      <w:rFonts w:ascii="Times New Roman" w:eastAsia="Times New Roman" w:hAnsi="Times New Roman" w:cs="Times New Roman"/>
      <w:lang w:val="de-DE" w:eastAsia="de-DE"/>
    </w:rPr>
  </w:style>
  <w:style w:type="character" w:styleId="Funotenzeichen">
    <w:name w:val="footnote reference"/>
    <w:basedOn w:val="Absatz-Standardschriftart"/>
    <w:uiPriority w:val="99"/>
    <w:unhideWhenUsed/>
    <w:rsid w:val="00805013"/>
    <w:rPr>
      <w:vertAlign w:val="superscript"/>
    </w:rPr>
  </w:style>
  <w:style w:type="paragraph" w:customStyle="1" w:styleId="4bTabellentext">
    <w:name w:val="4b_Tabellentext"/>
    <w:basedOn w:val="Standard"/>
    <w:rsid w:val="00EB2FC3"/>
    <w:pPr>
      <w:spacing w:before="0" w:after="80" w:line="240" w:lineRule="auto"/>
    </w:pPr>
    <w:rPr>
      <w:rFonts w:ascii="Arial" w:eastAsia="MS Mincho" w:hAnsi="Arial" w:cs="Times New Roman"/>
      <w:sz w:val="20"/>
      <w:szCs w:val="24"/>
      <w:lang w:val="de-DE" w:eastAsia="ja-JP"/>
    </w:rPr>
  </w:style>
  <w:style w:type="character" w:customStyle="1" w:styleId="berschrift2Zchn">
    <w:name w:val="Überschrift 2 Zchn"/>
    <w:basedOn w:val="Absatz-Standardschriftart"/>
    <w:link w:val="berschrift2"/>
    <w:rsid w:val="009C2921"/>
    <w:rPr>
      <w:rFonts w:ascii="Arial Black" w:eastAsia="Times New Roman" w:hAnsi="Arial Black" w:cs="Times New Roman"/>
      <w:b/>
      <w:sz w:val="36"/>
      <w:lang w:val="de-DE" w:eastAsia="de-DE"/>
    </w:rPr>
  </w:style>
  <w:style w:type="paragraph" w:styleId="StandardWeb">
    <w:name w:val="Normal (Web)"/>
    <w:basedOn w:val="Standard"/>
    <w:semiHidden/>
    <w:rsid w:val="009C2921"/>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Sprechblasentext">
    <w:name w:val="Balloon Text"/>
    <w:basedOn w:val="Standard"/>
    <w:link w:val="SprechblasentextZchn"/>
    <w:semiHidden/>
    <w:rsid w:val="009C2921"/>
    <w:pPr>
      <w:spacing w:before="0" w:line="240" w:lineRule="auto"/>
    </w:pPr>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9C2921"/>
    <w:rPr>
      <w:rFonts w:ascii="Tahoma" w:eastAsia="Times New Roman" w:hAnsi="Tahoma" w:cs="Tahoma"/>
      <w:sz w:val="16"/>
      <w:szCs w:val="16"/>
      <w:lang w:val="de-DE" w:eastAsia="de-DE"/>
    </w:rPr>
  </w:style>
  <w:style w:type="paragraph" w:customStyle="1" w:styleId="AnsprechpartnerLink">
    <w:name w:val="Ansprechpartner_Link"/>
    <w:basedOn w:val="Standard"/>
    <w:link w:val="AnsprechpartnerLinkChar"/>
    <w:rsid w:val="009C2921"/>
    <w:pPr>
      <w:numPr>
        <w:ilvl w:val="12"/>
      </w:numPr>
      <w:suppressAutoHyphens/>
      <w:spacing w:before="0" w:line="240" w:lineRule="auto"/>
      <w:ind w:right="27"/>
    </w:pPr>
    <w:rPr>
      <w:rFonts w:ascii="Arial" w:eastAsia="Times New Roman" w:hAnsi="Arial" w:cs="Times New Roman"/>
      <w:b/>
      <w:bCs/>
      <w:sz w:val="22"/>
      <w:lang w:val="de-DE" w:eastAsia="de-DE"/>
    </w:rPr>
  </w:style>
  <w:style w:type="paragraph" w:customStyle="1" w:styleId="AnsprechpartnerFuss">
    <w:name w:val="Ansprechpartner_Fuss"/>
    <w:basedOn w:val="Standard"/>
    <w:rsid w:val="009C2921"/>
    <w:pPr>
      <w:numPr>
        <w:ilvl w:val="12"/>
      </w:numPr>
      <w:suppressAutoHyphens/>
      <w:spacing w:before="360" w:line="240" w:lineRule="auto"/>
      <w:ind w:right="27"/>
    </w:pPr>
    <w:rPr>
      <w:rFonts w:ascii="Arial" w:eastAsia="Times New Roman" w:hAnsi="Arial" w:cs="Times New Roman"/>
      <w:sz w:val="22"/>
      <w:lang w:val="de-DE" w:eastAsia="de-DE"/>
    </w:rPr>
  </w:style>
  <w:style w:type="character" w:styleId="Fett">
    <w:name w:val="Strong"/>
    <w:basedOn w:val="Absatz-Standardschriftart"/>
    <w:uiPriority w:val="22"/>
    <w:qFormat/>
    <w:rsid w:val="009C2921"/>
    <w:rPr>
      <w:b/>
      <w:bCs/>
    </w:rPr>
  </w:style>
  <w:style w:type="character" w:customStyle="1" w:styleId="AnsprechpartnerLinkChar">
    <w:name w:val="Ansprechpartner_Link Char"/>
    <w:link w:val="AnsprechpartnerLink"/>
    <w:locked/>
    <w:rsid w:val="009C2921"/>
    <w:rPr>
      <w:rFonts w:ascii="Arial" w:eastAsia="Times New Roman" w:hAnsi="Arial" w:cs="Times New Roman"/>
      <w:b/>
      <w:bCs/>
      <w:sz w:val="22"/>
      <w:lang w:val="de-DE" w:eastAsia="de-DE"/>
    </w:rPr>
  </w:style>
  <w:style w:type="table" w:customStyle="1" w:styleId="Tabellenraster1">
    <w:name w:val="Tabellenraster1"/>
    <w:basedOn w:val="NormaleTabelle"/>
    <w:next w:val="Tabellenraster"/>
    <w:uiPriority w:val="59"/>
    <w:rsid w:val="009C2921"/>
    <w:rPr>
      <w:rFonts w:ascii="Renault Group" w:eastAsia="Renault Group" w:hAnsi="Renault Group"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mentarthema">
    <w:name w:val="annotation subject"/>
    <w:basedOn w:val="Kommentartext"/>
    <w:next w:val="Kommentartext"/>
    <w:link w:val="KommentarthemaZchn"/>
    <w:semiHidden/>
    <w:unhideWhenUsed/>
    <w:rsid w:val="009C2921"/>
    <w:pPr>
      <w:spacing w:after="0"/>
    </w:pPr>
    <w:rPr>
      <w:rFonts w:ascii="Times New Roman" w:eastAsia="Times New Roman" w:hAnsi="Times New Roman" w:cs="Times New Roman"/>
      <w:b/>
      <w:bCs/>
      <w:lang w:val="de-DE" w:eastAsia="de-DE"/>
    </w:rPr>
  </w:style>
  <w:style w:type="character" w:customStyle="1" w:styleId="KommentarthemaZchn">
    <w:name w:val="Kommentarthema Zchn"/>
    <w:basedOn w:val="KommentartextZchn"/>
    <w:link w:val="Kommentarthema"/>
    <w:semiHidden/>
    <w:rsid w:val="009C2921"/>
    <w:rPr>
      <w:rFonts w:ascii="Times New Roman" w:eastAsia="Times New Roman" w:hAnsi="Times New Roman" w:cs="Times New Roman"/>
      <w:b/>
      <w:bCs/>
      <w:lang w:val="de-DE" w:eastAsia="de-DE"/>
    </w:rPr>
  </w:style>
  <w:style w:type="character" w:styleId="Hervorhebung">
    <w:name w:val="Emphasis"/>
    <w:basedOn w:val="Absatz-Standardschriftart"/>
    <w:qFormat/>
    <w:rsid w:val="009C2921"/>
    <w:rPr>
      <w:i/>
      <w:iCs/>
    </w:rPr>
  </w:style>
  <w:style w:type="paragraph" w:styleId="berarbeitung">
    <w:name w:val="Revision"/>
    <w:hidden/>
    <w:uiPriority w:val="99"/>
    <w:semiHidden/>
    <w:rsid w:val="009C2921"/>
    <w:rPr>
      <w:rFonts w:ascii="Times New Roman" w:eastAsia="Times New Roman" w:hAnsi="Times New Roman" w:cs="Times New Roman"/>
      <w:lang w:val="de-DE" w:eastAsia="de-DE"/>
    </w:rPr>
  </w:style>
  <w:style w:type="character" w:customStyle="1" w:styleId="cf01">
    <w:name w:val="cf01"/>
    <w:basedOn w:val="Absatz-Standardschriftart"/>
    <w:rsid w:val="009C2921"/>
    <w:rPr>
      <w:rFonts w:ascii="Segoe UI" w:hAnsi="Segoe UI" w:cs="Segoe UI" w:hint="default"/>
      <w:sz w:val="18"/>
      <w:szCs w:val="18"/>
    </w:rPr>
  </w:style>
  <w:style w:type="character" w:customStyle="1" w:styleId="ui-provider">
    <w:name w:val="ui-provider"/>
    <w:basedOn w:val="Absatz-Standardschriftart"/>
    <w:rsid w:val="00446876"/>
  </w:style>
  <w:style w:type="paragraph" w:customStyle="1" w:styleId="RGBulletsCPKeymessages">
    <w:name w:val="RG_Bullets CP Key messages"/>
    <w:basedOn w:val="Listenabsatz"/>
    <w:next w:val="Standard"/>
    <w:uiPriority w:val="3"/>
    <w:qFormat/>
    <w:rsid w:val="00432D4B"/>
    <w:pPr>
      <w:spacing w:before="0" w:after="120" w:line="240" w:lineRule="auto"/>
      <w:ind w:left="0"/>
      <w:contextualSpacing w:val="0"/>
      <w:jc w:val="both"/>
    </w:pPr>
    <w:rPr>
      <w:b/>
      <w:bCs/>
      <w:sz w:val="24"/>
      <w:szCs w:val="24"/>
      <w:lang w:val="en-GB"/>
    </w:rPr>
  </w:style>
  <w:style w:type="paragraph" w:customStyle="1" w:styleId="RGSousTiiteCP">
    <w:name w:val="RG_Sous Tiite CP"/>
    <w:basedOn w:val="Standard"/>
    <w:next w:val="Standard"/>
    <w:uiPriority w:val="3"/>
    <w:qFormat/>
    <w:rsid w:val="00432D4B"/>
    <w:pPr>
      <w:spacing w:before="480" w:line="240" w:lineRule="auto"/>
      <w:jc w:val="both"/>
    </w:pPr>
    <w:rPr>
      <w:bCs/>
      <w:color w:val="988C7F"/>
      <w:sz w:val="28"/>
      <w:szCs w:val="28"/>
      <w:lang w:val="en-GB"/>
    </w:rPr>
  </w:style>
  <w:style w:type="paragraph" w:customStyle="1" w:styleId="RGParagraphe">
    <w:name w:val="RG_Paragraphe"/>
    <w:basedOn w:val="Standard"/>
    <w:next w:val="Standard"/>
    <w:uiPriority w:val="3"/>
    <w:qFormat/>
    <w:rsid w:val="00432D4B"/>
    <w:pPr>
      <w:jc w:val="both"/>
    </w:pPr>
    <w:rPr>
      <w:rFonts w:ascii="Renault Group AH Light" w:hAnsi="Renault Group AH Light" w:cs="Renault Group AH Light"/>
      <w:sz w:val="20"/>
      <w:lang w:val="en-GB"/>
    </w:rPr>
  </w:style>
  <w:style w:type="paragraph" w:styleId="KeinLeerraum">
    <w:name w:val="No Spacing"/>
    <w:uiPriority w:val="1"/>
    <w:qFormat/>
    <w:rsid w:val="00432D4B"/>
    <w:rPr>
      <w:sz w:val="18"/>
    </w:rPr>
  </w:style>
  <w:style w:type="character" w:customStyle="1" w:styleId="berschrift3Zchn">
    <w:name w:val="Überschrift 3 Zchn"/>
    <w:basedOn w:val="Absatz-Standardschriftart"/>
    <w:link w:val="berschrift3"/>
    <w:uiPriority w:val="9"/>
    <w:semiHidden/>
    <w:rsid w:val="00B43CE0"/>
    <w:rPr>
      <w:rFonts w:asciiTheme="majorHAnsi" w:eastAsiaTheme="majorEastAsia" w:hAnsiTheme="majorHAnsi" w:cstheme="majorBidi"/>
      <w:color w:val="207E77"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06880">
      <w:bodyDiv w:val="1"/>
      <w:marLeft w:val="0"/>
      <w:marRight w:val="0"/>
      <w:marTop w:val="0"/>
      <w:marBottom w:val="0"/>
      <w:divBdr>
        <w:top w:val="none" w:sz="0" w:space="0" w:color="auto"/>
        <w:left w:val="none" w:sz="0" w:space="0" w:color="auto"/>
        <w:bottom w:val="none" w:sz="0" w:space="0" w:color="auto"/>
        <w:right w:val="none" w:sz="0" w:space="0" w:color="auto"/>
      </w:divBdr>
    </w:div>
    <w:div w:id="989554638">
      <w:bodyDiv w:val="1"/>
      <w:marLeft w:val="0"/>
      <w:marRight w:val="0"/>
      <w:marTop w:val="0"/>
      <w:marBottom w:val="0"/>
      <w:divBdr>
        <w:top w:val="none" w:sz="0" w:space="0" w:color="auto"/>
        <w:left w:val="none" w:sz="0" w:space="0" w:color="auto"/>
        <w:bottom w:val="none" w:sz="0" w:space="0" w:color="auto"/>
        <w:right w:val="none" w:sz="0" w:space="0" w:color="auto"/>
      </w:divBdr>
    </w:div>
    <w:div w:id="1455753347">
      <w:bodyDiv w:val="1"/>
      <w:marLeft w:val="0"/>
      <w:marRight w:val="0"/>
      <w:marTop w:val="0"/>
      <w:marBottom w:val="0"/>
      <w:divBdr>
        <w:top w:val="none" w:sz="0" w:space="0" w:color="auto"/>
        <w:left w:val="none" w:sz="0" w:space="0" w:color="auto"/>
        <w:bottom w:val="none" w:sz="0" w:space="0" w:color="auto"/>
        <w:right w:val="none" w:sz="0" w:space="0" w:color="auto"/>
      </w:divBdr>
    </w:div>
    <w:div w:id="1569920354">
      <w:bodyDiv w:val="1"/>
      <w:marLeft w:val="0"/>
      <w:marRight w:val="0"/>
      <w:marTop w:val="0"/>
      <w:marBottom w:val="0"/>
      <w:divBdr>
        <w:top w:val="none" w:sz="0" w:space="0" w:color="auto"/>
        <w:left w:val="none" w:sz="0" w:space="0" w:color="auto"/>
        <w:bottom w:val="none" w:sz="0" w:space="0" w:color="auto"/>
        <w:right w:val="none" w:sz="0" w:space="0" w:color="auto"/>
      </w:divBdr>
    </w:div>
    <w:div w:id="1624773218">
      <w:bodyDiv w:val="1"/>
      <w:marLeft w:val="0"/>
      <w:marRight w:val="0"/>
      <w:marTop w:val="0"/>
      <w:marBottom w:val="0"/>
      <w:divBdr>
        <w:top w:val="none" w:sz="0" w:space="0" w:color="auto"/>
        <w:left w:val="none" w:sz="0" w:space="0" w:color="auto"/>
        <w:bottom w:val="none" w:sz="0" w:space="0" w:color="auto"/>
        <w:right w:val="none" w:sz="0" w:space="0" w:color="auto"/>
      </w:divBdr>
    </w:div>
    <w:div w:id="1926373986">
      <w:bodyDiv w:val="1"/>
      <w:marLeft w:val="0"/>
      <w:marRight w:val="0"/>
      <w:marTop w:val="0"/>
      <w:marBottom w:val="0"/>
      <w:divBdr>
        <w:top w:val="none" w:sz="0" w:space="0" w:color="auto"/>
        <w:left w:val="none" w:sz="0" w:space="0" w:color="auto"/>
        <w:bottom w:val="none" w:sz="0" w:space="0" w:color="auto"/>
        <w:right w:val="none" w:sz="0" w:space="0" w:color="auto"/>
      </w:divBdr>
    </w:div>
    <w:div w:id="204678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hyperlink" Target="https://www.renaultgroup.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nault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Renault Group_Couleurs">
      <a:dk1>
        <a:sysClr val="windowText" lastClr="000000"/>
      </a:dk1>
      <a:lt1>
        <a:sysClr val="window" lastClr="FFFFFF"/>
      </a:lt1>
      <a:dk2>
        <a:srgbClr val="2E2ECA"/>
      </a:dk2>
      <a:lt2>
        <a:srgbClr val="988C7F"/>
      </a:lt2>
      <a:accent1>
        <a:srgbClr val="66D8D0"/>
      </a:accent1>
      <a:accent2>
        <a:srgbClr val="60504A"/>
      </a:accent2>
      <a:accent3>
        <a:srgbClr val="1D5129"/>
      </a:accent3>
      <a:accent4>
        <a:srgbClr val="5EA565"/>
      </a:accent4>
      <a:accent5>
        <a:srgbClr val="BA4C2F"/>
      </a:accent5>
      <a:accent6>
        <a:srgbClr val="D8C4A0"/>
      </a:accent6>
      <a:hlink>
        <a:srgbClr val="000000"/>
      </a:hlink>
      <a:folHlink>
        <a:srgbClr val="000000"/>
      </a:folHlink>
    </a:clrScheme>
    <a:fontScheme name="Renault Group_Polices">
      <a:majorFont>
        <a:latin typeface="Renault Group Semibold"/>
        <a:ea typeface=""/>
        <a:cs typeface=""/>
      </a:majorFont>
      <a:minorFont>
        <a:latin typeface="Renault Group"/>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4717D-F70C-4516-B893-C5D81BC1F432}">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customXml/itemProps2.xml><?xml version="1.0" encoding="utf-8"?>
<ds:datastoreItem xmlns:ds="http://schemas.openxmlformats.org/officeDocument/2006/customXml" ds:itemID="{80A27566-D133-41A4-92B3-DA3996F22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797D31-1397-4EEB-94F1-90A119397FCD}">
  <ds:schemaRefs>
    <ds:schemaRef ds:uri="http://schemas.microsoft.com/sharepoint/v3/contenttype/forms"/>
  </ds:schemaRefs>
</ds:datastoreItem>
</file>

<file path=customXml/itemProps4.xml><?xml version="1.0" encoding="utf-8"?>
<ds:datastoreItem xmlns:ds="http://schemas.openxmlformats.org/officeDocument/2006/customXml" ds:itemID="{7F14E919-878B-4F80-AE49-06A9EF2C5C8D}">
  <ds:schemaRefs>
    <ds:schemaRef ds:uri="http://schemas.openxmlformats.org/officeDocument/2006/bibliography"/>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2273</Words>
  <Characters>14162</Characters>
  <Application>Microsoft Office Word</Application>
  <DocSecurity>0</DocSecurity>
  <Lines>314</Lines>
  <Paragraphs>162</Paragraphs>
  <ScaleCrop>false</ScaleCrop>
  <HeadingPairs>
    <vt:vector size="2" baseType="variant">
      <vt:variant>
        <vt:lpstr>Titel</vt:lpstr>
      </vt:variant>
      <vt:variant>
        <vt:i4>1</vt:i4>
      </vt:variant>
    </vt:vector>
  </HeadingPairs>
  <TitlesOfParts>
    <vt:vector size="1" baseType="lpstr">
      <vt:lpstr>Communiqué de presse</vt:lpstr>
    </vt:vector>
  </TitlesOfParts>
  <Company>Renault Group</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Communiqué de presse</dc:title>
  <dc:subject/>
  <dc:creator>office2</dc:creator>
  <cp:keywords/>
  <dc:description/>
  <cp:lastModifiedBy>BALLWEBER Tizian</cp:lastModifiedBy>
  <cp:revision>14</cp:revision>
  <cp:lastPrinted>2024-09-05T04:34:00Z</cp:lastPrinted>
  <dcterms:created xsi:type="dcterms:W3CDTF">2026-07-22T15:11:00Z</dcterms:created>
  <dcterms:modified xsi:type="dcterms:W3CDTF">2026-07-23T05:56:00Z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Comms Asset Type">
    <vt:lpwstr/>
  </property>
  <property fmtid="{D5CDD505-2E9C-101B-9397-08002B2CF9AE}" pid="4" name="Event / Campaign">
    <vt:lpwstr>521;#Renault Group Climate Report|8f81fc61-440c-4bdc-80da-28ecb383979b;#520;#Renault Group CSR Strategy|1ea4f9d5-abb2-4ccf-9666-638a79e46afd</vt:lpwstr>
  </property>
  <property fmtid="{D5CDD505-2E9C-101B-9397-08002B2CF9AE}" pid="5" name="Region">
    <vt:lpwstr/>
  </property>
  <property fmtid="{D5CDD505-2E9C-101B-9397-08002B2CF9AE}" pid="6" name="Comms_x0020_Activity">
    <vt:lpwstr/>
  </property>
  <property fmtid="{D5CDD505-2E9C-101B-9397-08002B2CF9AE}" pid="7" name="Comms Topics">
    <vt:lpwstr/>
  </property>
  <property fmtid="{D5CDD505-2E9C-101B-9397-08002B2CF9AE}" pid="8" name="Related Materials">
    <vt:lpwstr/>
  </property>
  <property fmtid="{D5CDD505-2E9C-101B-9397-08002B2CF9AE}" pid="9" name="hc39a5bb142f467fbe8ece94a4aadaa6">
    <vt:lpwstr/>
  </property>
  <property fmtid="{D5CDD505-2E9C-101B-9397-08002B2CF9AE}" pid="10" name="Organizations / Regions">
    <vt:lpwstr>18;#Groupe Renault|990bf1de-3555-4dee-9412-282becc82017</vt:lpwstr>
  </property>
  <property fmtid="{D5CDD505-2E9C-101B-9397-08002B2CF9AE}" pid="11" name="Event_x002c__x0020_Campaign_x0020_or_x0020_Activity_x0020_Name">
    <vt:lpwstr/>
  </property>
  <property fmtid="{D5CDD505-2E9C-101B-9397-08002B2CF9AE}" pid="12" name="Vehicles">
    <vt:lpwstr/>
  </property>
  <property fmtid="{D5CDD505-2E9C-101B-9397-08002B2CF9AE}" pid="13" name="cbb9efac28c149ca97ba5f806fbe48b6">
    <vt:lpwstr/>
  </property>
  <property fmtid="{D5CDD505-2E9C-101B-9397-08002B2CF9AE}" pid="14" name="Comms_x0020_Best_x0020_Practice_x0020_Categories">
    <vt:lpwstr/>
  </property>
  <property fmtid="{D5CDD505-2E9C-101B-9397-08002B2CF9AE}" pid="15" name="l86be07eba1b4acb9afbd6642b23ffba">
    <vt:lpwstr/>
  </property>
  <property fmtid="{D5CDD505-2E9C-101B-9397-08002B2CF9AE}" pid="16" name="Comms Best Practice Categories">
    <vt:lpwstr/>
  </property>
  <property fmtid="{D5CDD505-2E9C-101B-9397-08002B2CF9AE}" pid="17" name="Event, Campaign or Activity Name">
    <vt:lpwstr/>
  </property>
  <property fmtid="{D5CDD505-2E9C-101B-9397-08002B2CF9AE}" pid="18" name="Comms Activity">
    <vt:lpwstr/>
  </property>
  <property fmtid="{D5CDD505-2E9C-101B-9397-08002B2CF9AE}" pid="19" name="MSIP_Label_7f30fc12-c89a-4829-a476-5bf9e2086332_Enabled">
    <vt:lpwstr>true</vt:lpwstr>
  </property>
  <property fmtid="{D5CDD505-2E9C-101B-9397-08002B2CF9AE}" pid="20" name="MSIP_Label_7f30fc12-c89a-4829-a476-5bf9e2086332_SetDate">
    <vt:lpwstr>2022-06-21T09:11:00Z</vt:lpwstr>
  </property>
  <property fmtid="{D5CDD505-2E9C-101B-9397-08002B2CF9AE}" pid="21" name="MSIP_Label_7f30fc12-c89a-4829-a476-5bf9e2086332_Method">
    <vt:lpwstr>Privileged</vt:lpwstr>
  </property>
  <property fmtid="{D5CDD505-2E9C-101B-9397-08002B2CF9AE}" pid="22" name="MSIP_Label_7f30fc12-c89a-4829-a476-5bf9e2086332_Name">
    <vt:lpwstr>Not protected (Anyone)_0</vt:lpwstr>
  </property>
  <property fmtid="{D5CDD505-2E9C-101B-9397-08002B2CF9AE}" pid="23" name="MSIP_Label_7f30fc12-c89a-4829-a476-5bf9e2086332_SiteId">
    <vt:lpwstr>d6b0bbee-7cd9-4d60-bce6-4a67b543e2ae</vt:lpwstr>
  </property>
  <property fmtid="{D5CDD505-2E9C-101B-9397-08002B2CF9AE}" pid="24" name="MSIP_Label_7f30fc12-c89a-4829-a476-5bf9e2086332_ActionId">
    <vt:lpwstr>c7617b10-c79a-4c7e-966f-3e01c48ade9b</vt:lpwstr>
  </property>
  <property fmtid="{D5CDD505-2E9C-101B-9397-08002B2CF9AE}" pid="25" name="MSIP_Label_7f30fc12-c89a-4829-a476-5bf9e2086332_ContentBits">
    <vt:lpwstr>0</vt:lpwstr>
  </property>
  <property fmtid="{D5CDD505-2E9C-101B-9397-08002B2CF9AE}" pid="26" name="MediaServiceImageTags">
    <vt:lpwstr/>
  </property>
</Properties>
</file>