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tblGrid>
      <w:tr w:rsidR="008C7E44" w:rsidRPr="008C7E44" w14:paraId="3F0F82EE" w14:textId="77777777" w:rsidTr="008C7E44">
        <w:trPr>
          <w:cantSplit/>
        </w:trPr>
        <w:tc>
          <w:tcPr>
            <w:tcW w:w="3969" w:type="dxa"/>
            <w:vAlign w:val="center"/>
          </w:tcPr>
          <w:p w14:paraId="21AD7827" w14:textId="77777777" w:rsidR="00D26979" w:rsidRDefault="008B6935">
            <w:pPr>
              <w:spacing w:before="0" w:line="240" w:lineRule="auto"/>
              <w:ind w:left="1416"/>
              <w:rPr>
                <w:b/>
                <w:sz w:val="26"/>
                <w:szCs w:val="26"/>
              </w:rPr>
            </w:pPr>
            <w:r>
              <w:rPr>
                <w:b/>
                <w:sz w:val="26"/>
                <w:szCs w:val="26"/>
                <w:lang w:val="en"/>
              </w:rPr>
              <w:t xml:space="preserve">PRESSEMITTEILUNG </w:t>
            </w:r>
          </w:p>
          <w:p w14:paraId="16E73601" w14:textId="77777777" w:rsidR="00D26979" w:rsidRDefault="008B6935">
            <w:pPr>
              <w:spacing w:before="0" w:line="240" w:lineRule="auto"/>
              <w:ind w:left="1416"/>
              <w:jc w:val="both"/>
              <w:rPr>
                <w:sz w:val="22"/>
                <w:szCs w:val="22"/>
              </w:rPr>
            </w:pPr>
            <w:r>
              <w:rPr>
                <w:sz w:val="22"/>
                <w:szCs w:val="22"/>
                <w:lang w:val="en"/>
              </w:rPr>
              <w:t xml:space="preserve">April </w:t>
            </w:r>
            <w:r w:rsidR="002E25F5" w:rsidRPr="002E25F5">
              <w:rPr>
                <w:sz w:val="22"/>
                <w:szCs w:val="22"/>
                <w:lang w:val="en"/>
              </w:rPr>
              <w:t xml:space="preserve">22, </w:t>
            </w:r>
            <w:r w:rsidR="001B107D">
              <w:rPr>
                <w:sz w:val="22"/>
                <w:szCs w:val="22"/>
                <w:lang w:val="en"/>
              </w:rPr>
              <w:t>2022</w:t>
            </w:r>
          </w:p>
        </w:tc>
      </w:tr>
    </w:tbl>
    <w:p w14:paraId="511EB1A3" w14:textId="16B0A40A" w:rsidR="00D26979" w:rsidRPr="00BD26A8" w:rsidRDefault="008B6935">
      <w:pPr>
        <w:pStyle w:val="RGTitreCP"/>
        <w:jc w:val="center"/>
        <w:rPr>
          <w:rFonts w:eastAsia="Renault Group" w:cs="Times New Roman"/>
          <w:b/>
          <w:bCs/>
          <w:sz w:val="47"/>
          <w:szCs w:val="47"/>
          <w:lang w:val="de-DE"/>
        </w:rPr>
      </w:pPr>
      <w:r w:rsidRPr="002429EE">
        <w:rPr>
          <w:b/>
          <w:bCs/>
          <w:sz w:val="47"/>
          <w:szCs w:val="47"/>
          <w:lang w:val="de-AT"/>
        </w:rPr>
        <w:br/>
      </w:r>
      <w:r w:rsidR="000B349B">
        <w:rPr>
          <w:b/>
          <w:bCs/>
          <w:sz w:val="43"/>
          <w:szCs w:val="40"/>
          <w:lang w:val="de-AT"/>
        </w:rPr>
        <w:t>Erstes</w:t>
      </w:r>
      <w:r w:rsidR="00D57C04" w:rsidRPr="00A577DF">
        <w:rPr>
          <w:b/>
          <w:bCs/>
          <w:sz w:val="43"/>
          <w:szCs w:val="40"/>
          <w:lang w:val="de-AT"/>
        </w:rPr>
        <w:t xml:space="preserve"> Quartal 2022 </w:t>
      </w:r>
      <w:r w:rsidR="002E25F5" w:rsidRPr="00A577DF">
        <w:rPr>
          <w:b/>
          <w:bCs/>
          <w:sz w:val="43"/>
          <w:szCs w:val="40"/>
          <w:lang w:val="de-AT"/>
        </w:rPr>
        <w:br/>
      </w:r>
      <w:r w:rsidR="00322D61" w:rsidRPr="00322D61">
        <w:rPr>
          <w:b/>
          <w:bCs/>
          <w:sz w:val="43"/>
          <w:szCs w:val="40"/>
          <w:lang w:val="de-AT"/>
        </w:rPr>
        <w:t>Renault Group behauptet sich trotz schwierigen wirtschaftlichen Umfelds dank tiefgreifend erneuerter Produktpalette</w:t>
      </w:r>
    </w:p>
    <w:p w14:paraId="21919781" w14:textId="77777777" w:rsidR="006F4694" w:rsidRPr="00A577DF" w:rsidRDefault="006F4694" w:rsidP="006F4694">
      <w:pPr>
        <w:spacing w:after="120" w:line="240" w:lineRule="auto"/>
        <w:ind w:right="654"/>
        <w:jc w:val="both"/>
        <w:rPr>
          <w:rFonts w:ascii="Arial" w:eastAsia="Times New Roman" w:hAnsi="Arial" w:cs="Arial"/>
          <w:b/>
          <w:bCs/>
          <w:sz w:val="2"/>
          <w:szCs w:val="2"/>
          <w:lang w:val="de-AT"/>
        </w:rPr>
      </w:pPr>
    </w:p>
    <w:p w14:paraId="696DE8CE" w14:textId="1CEFE96D" w:rsidR="00D26979" w:rsidRPr="00A577DF" w:rsidRDefault="008B6935">
      <w:pPr>
        <w:pStyle w:val="RGPuce1"/>
        <w:spacing w:line="264" w:lineRule="auto"/>
        <w:jc w:val="both"/>
        <w:rPr>
          <w:sz w:val="22"/>
          <w:szCs w:val="22"/>
          <w:lang w:val="de-AT"/>
        </w:rPr>
      </w:pPr>
      <w:r w:rsidRPr="00A577DF">
        <w:rPr>
          <w:sz w:val="22"/>
          <w:szCs w:val="22"/>
          <w:lang w:val="de-AT"/>
        </w:rPr>
        <w:t xml:space="preserve">Der weltweite Absatz der Gruppe belief sich im </w:t>
      </w:r>
      <w:r w:rsidR="000B349B">
        <w:rPr>
          <w:sz w:val="22"/>
          <w:szCs w:val="22"/>
          <w:lang w:val="de-AT"/>
        </w:rPr>
        <w:t>erste</w:t>
      </w:r>
      <w:r w:rsidR="00902B20">
        <w:rPr>
          <w:sz w:val="22"/>
          <w:szCs w:val="22"/>
          <w:lang w:val="de-AT"/>
        </w:rPr>
        <w:t>n</w:t>
      </w:r>
      <w:r w:rsidR="00906004" w:rsidRPr="00A577DF">
        <w:rPr>
          <w:sz w:val="22"/>
          <w:szCs w:val="22"/>
          <w:lang w:val="de-AT"/>
        </w:rPr>
        <w:t xml:space="preserve"> Quartal 2022 </w:t>
      </w:r>
      <w:r w:rsidRPr="00A577DF">
        <w:rPr>
          <w:sz w:val="22"/>
          <w:szCs w:val="22"/>
          <w:lang w:val="de-AT"/>
        </w:rPr>
        <w:t>auf 552.000 Fahrzeuge</w:t>
      </w:r>
      <w:r w:rsidR="00906004" w:rsidRPr="00A577DF">
        <w:rPr>
          <w:sz w:val="22"/>
          <w:szCs w:val="22"/>
          <w:lang w:val="de-AT"/>
        </w:rPr>
        <w:t xml:space="preserve">, und das in </w:t>
      </w:r>
      <w:r w:rsidR="00B1531A" w:rsidRPr="00A577DF">
        <w:rPr>
          <w:sz w:val="22"/>
          <w:szCs w:val="22"/>
          <w:lang w:val="de-AT"/>
        </w:rPr>
        <w:t xml:space="preserve">einem </w:t>
      </w:r>
      <w:r w:rsidR="00C2789E" w:rsidRPr="00A577DF">
        <w:rPr>
          <w:sz w:val="22"/>
          <w:szCs w:val="22"/>
          <w:lang w:val="de-AT"/>
        </w:rPr>
        <w:t xml:space="preserve">nach wie vor sehr </w:t>
      </w:r>
      <w:r w:rsidR="00B319B1" w:rsidRPr="00A577DF">
        <w:rPr>
          <w:sz w:val="22"/>
          <w:szCs w:val="22"/>
          <w:lang w:val="de-AT"/>
        </w:rPr>
        <w:t>disruptiven</w:t>
      </w:r>
      <w:r w:rsidR="00C2789E" w:rsidRPr="00A577DF">
        <w:rPr>
          <w:sz w:val="22"/>
          <w:szCs w:val="22"/>
          <w:lang w:val="de-AT"/>
        </w:rPr>
        <w:t xml:space="preserve"> </w:t>
      </w:r>
      <w:r w:rsidR="00906004" w:rsidRPr="00A577DF">
        <w:rPr>
          <w:sz w:val="22"/>
          <w:szCs w:val="22"/>
          <w:lang w:val="de-AT"/>
        </w:rPr>
        <w:t xml:space="preserve">Marktumfeld. </w:t>
      </w:r>
    </w:p>
    <w:p w14:paraId="388928D6" w14:textId="186B9D8B" w:rsidR="00D26979" w:rsidRPr="00A577DF" w:rsidRDefault="008B6935">
      <w:pPr>
        <w:pStyle w:val="RGPuce1"/>
        <w:spacing w:line="264" w:lineRule="auto"/>
        <w:jc w:val="both"/>
        <w:rPr>
          <w:sz w:val="22"/>
          <w:szCs w:val="22"/>
          <w:lang w:val="de-AT"/>
        </w:rPr>
      </w:pPr>
      <w:r w:rsidRPr="00A577DF">
        <w:rPr>
          <w:sz w:val="22"/>
          <w:szCs w:val="22"/>
          <w:lang w:val="de-AT"/>
        </w:rPr>
        <w:t xml:space="preserve">Der Umsatz der Gruppe belief sich im Berichtsquartal auf </w:t>
      </w:r>
      <w:r w:rsidR="00DA003F" w:rsidRPr="00A577DF">
        <w:rPr>
          <w:sz w:val="22"/>
          <w:szCs w:val="22"/>
          <w:lang w:val="de-AT"/>
        </w:rPr>
        <w:t xml:space="preserve">9,7 </w:t>
      </w:r>
      <w:r w:rsidRPr="00A577DF">
        <w:rPr>
          <w:sz w:val="22"/>
          <w:szCs w:val="22"/>
          <w:lang w:val="de-AT"/>
        </w:rPr>
        <w:t>Milliarden Euro, was einem Rückgang von -2,7 % entspricht</w:t>
      </w:r>
      <w:bookmarkStart w:id="0" w:name="_Hlk6243999"/>
      <w:r w:rsidRPr="00A577DF">
        <w:rPr>
          <w:sz w:val="22"/>
          <w:szCs w:val="22"/>
          <w:lang w:val="de-AT"/>
        </w:rPr>
        <w:t xml:space="preserve"> (-0,7 % bei </w:t>
      </w:r>
      <w:r w:rsidR="00AF60DD" w:rsidRPr="00A577DF">
        <w:rPr>
          <w:sz w:val="22"/>
          <w:szCs w:val="22"/>
          <w:lang w:val="de-AT"/>
        </w:rPr>
        <w:t>konstanter</w:t>
      </w:r>
      <w:r w:rsidRPr="00A577DF">
        <w:rPr>
          <w:sz w:val="22"/>
          <w:szCs w:val="22"/>
          <w:lang w:val="de-AT"/>
        </w:rPr>
        <w:t xml:space="preserve"> Konsolidierung und Wechselkursen</w:t>
      </w:r>
      <w:r w:rsidR="004971E6" w:rsidRPr="00A577DF">
        <w:rPr>
          <w:rStyle w:val="Funotenzeichen"/>
          <w:b/>
          <w:sz w:val="22"/>
          <w:szCs w:val="22"/>
          <w:lang w:val="de-AT"/>
        </w:rPr>
        <w:footnoteReference w:id="2"/>
      </w:r>
      <w:r w:rsidRPr="00A577DF">
        <w:rPr>
          <w:sz w:val="22"/>
          <w:szCs w:val="22"/>
          <w:lang w:val="de-AT"/>
        </w:rPr>
        <w:t xml:space="preserve"> ).</w:t>
      </w:r>
      <w:bookmarkEnd w:id="0"/>
    </w:p>
    <w:p w14:paraId="00F07934" w14:textId="28B04207" w:rsidR="00D26979" w:rsidRPr="00A577DF" w:rsidRDefault="008B6935">
      <w:pPr>
        <w:pStyle w:val="RGPuce1"/>
        <w:spacing w:line="264" w:lineRule="auto"/>
        <w:jc w:val="both"/>
        <w:rPr>
          <w:sz w:val="22"/>
          <w:szCs w:val="22"/>
          <w:lang w:val="de-AT"/>
        </w:rPr>
      </w:pPr>
      <w:r w:rsidRPr="00A577DF">
        <w:rPr>
          <w:sz w:val="22"/>
          <w:szCs w:val="22"/>
          <w:lang w:val="de-AT"/>
        </w:rPr>
        <w:t xml:space="preserve">Die </w:t>
      </w:r>
      <w:r w:rsidR="000B349B">
        <w:rPr>
          <w:sz w:val="22"/>
          <w:szCs w:val="22"/>
          <w:lang w:val="de-AT"/>
        </w:rPr>
        <w:t>Renault Group</w:t>
      </w:r>
      <w:r w:rsidRPr="00A577DF">
        <w:rPr>
          <w:sz w:val="22"/>
          <w:szCs w:val="22"/>
          <w:lang w:val="de-AT"/>
        </w:rPr>
        <w:t xml:space="preserve"> setzt ihre im </w:t>
      </w:r>
      <w:r w:rsidR="00902B20">
        <w:rPr>
          <w:sz w:val="22"/>
          <w:szCs w:val="22"/>
          <w:lang w:val="de-AT"/>
        </w:rPr>
        <w:t>dritten</w:t>
      </w:r>
      <w:r w:rsidRPr="00A577DF">
        <w:rPr>
          <w:sz w:val="22"/>
          <w:szCs w:val="22"/>
          <w:lang w:val="de-AT"/>
        </w:rPr>
        <w:t xml:space="preserve"> Quartal 2020 </w:t>
      </w:r>
      <w:r w:rsidR="00F07F4E" w:rsidRPr="00A577DF">
        <w:rPr>
          <w:sz w:val="22"/>
          <w:szCs w:val="22"/>
          <w:lang w:val="de-AT"/>
        </w:rPr>
        <w:t>eingeleitete</w:t>
      </w:r>
      <w:r w:rsidR="00943CC9" w:rsidRPr="00A577DF">
        <w:rPr>
          <w:sz w:val="22"/>
          <w:szCs w:val="22"/>
          <w:lang w:val="de-AT"/>
        </w:rPr>
        <w:t xml:space="preserve">, </w:t>
      </w:r>
      <w:r w:rsidR="00F21AB7">
        <w:rPr>
          <w:sz w:val="22"/>
          <w:szCs w:val="22"/>
          <w:lang w:val="de-AT"/>
        </w:rPr>
        <w:t>wertorientierte</w:t>
      </w:r>
      <w:r w:rsidR="007B415E" w:rsidRPr="00A577DF">
        <w:rPr>
          <w:sz w:val="22"/>
          <w:szCs w:val="22"/>
          <w:lang w:val="de-AT"/>
        </w:rPr>
        <w:t xml:space="preserve"> </w:t>
      </w:r>
      <w:r w:rsidRPr="00A577DF">
        <w:rPr>
          <w:sz w:val="22"/>
          <w:szCs w:val="22"/>
          <w:lang w:val="de-AT"/>
        </w:rPr>
        <w:t>Verkaufspolitik fort</w:t>
      </w:r>
      <w:r w:rsidR="007B415E" w:rsidRPr="00A577DF">
        <w:rPr>
          <w:sz w:val="22"/>
          <w:szCs w:val="22"/>
          <w:lang w:val="de-AT"/>
        </w:rPr>
        <w:t>:</w:t>
      </w:r>
    </w:p>
    <w:p w14:paraId="2466831A" w14:textId="77777777" w:rsidR="00D26979" w:rsidRPr="00A577DF" w:rsidRDefault="008B6935">
      <w:pPr>
        <w:pStyle w:val="RGPuce2"/>
        <w:numPr>
          <w:ilvl w:val="2"/>
          <w:numId w:val="11"/>
        </w:numPr>
        <w:spacing w:before="0" w:line="264" w:lineRule="auto"/>
        <w:contextualSpacing w:val="0"/>
        <w:jc w:val="both"/>
        <w:rPr>
          <w:color w:val="000000" w:themeColor="text1"/>
          <w:sz w:val="22"/>
          <w:szCs w:val="22"/>
          <w:lang w:val="de-AT"/>
        </w:rPr>
      </w:pPr>
      <w:r w:rsidRPr="00A577DF">
        <w:rPr>
          <w:color w:val="000000" w:themeColor="text1"/>
          <w:sz w:val="22"/>
          <w:szCs w:val="22"/>
          <w:lang w:val="de-AT"/>
        </w:rPr>
        <w:t xml:space="preserve">Positiver Preiseffekt von 5,6 Punkten im Quartal: Die Dynamik </w:t>
      </w:r>
      <w:r w:rsidR="00475688" w:rsidRPr="00A577DF">
        <w:rPr>
          <w:color w:val="000000" w:themeColor="text1"/>
          <w:sz w:val="22"/>
          <w:szCs w:val="22"/>
          <w:lang w:val="de-AT"/>
        </w:rPr>
        <w:t>hält an</w:t>
      </w:r>
      <w:r w:rsidR="0094416D" w:rsidRPr="00A577DF">
        <w:rPr>
          <w:color w:val="000000" w:themeColor="text1"/>
          <w:sz w:val="22"/>
          <w:szCs w:val="22"/>
          <w:lang w:val="de-AT"/>
        </w:rPr>
        <w:t>.</w:t>
      </w:r>
    </w:p>
    <w:p w14:paraId="0BC053AB" w14:textId="152DC4F6" w:rsidR="00D26979" w:rsidRPr="00A577DF" w:rsidRDefault="008B6935">
      <w:pPr>
        <w:pStyle w:val="RGPuce2"/>
        <w:numPr>
          <w:ilvl w:val="2"/>
          <w:numId w:val="11"/>
        </w:numPr>
        <w:spacing w:before="0" w:line="264" w:lineRule="auto"/>
        <w:contextualSpacing w:val="0"/>
        <w:jc w:val="both"/>
        <w:rPr>
          <w:sz w:val="22"/>
          <w:szCs w:val="24"/>
          <w:lang w:val="de-AT"/>
        </w:rPr>
      </w:pPr>
      <w:bookmarkStart w:id="1" w:name="_Hlk76979415"/>
      <w:r w:rsidRPr="00A577DF">
        <w:rPr>
          <w:color w:val="000000" w:themeColor="text1"/>
          <w:sz w:val="22"/>
          <w:szCs w:val="22"/>
          <w:lang w:val="de-AT"/>
        </w:rPr>
        <w:t xml:space="preserve">Erhöhung des </w:t>
      </w:r>
      <w:r w:rsidR="001D3094">
        <w:rPr>
          <w:color w:val="000000" w:themeColor="text1"/>
          <w:sz w:val="22"/>
          <w:szCs w:val="22"/>
          <w:lang w:val="de-AT"/>
        </w:rPr>
        <w:t>Anteils</w:t>
      </w:r>
      <w:r w:rsidR="00C01287" w:rsidRPr="00A577DF">
        <w:rPr>
          <w:color w:val="000000" w:themeColor="text1"/>
          <w:sz w:val="22"/>
          <w:szCs w:val="22"/>
          <w:lang w:val="de-AT"/>
        </w:rPr>
        <w:t xml:space="preserve"> </w:t>
      </w:r>
      <w:r w:rsidRPr="00A577DF">
        <w:rPr>
          <w:color w:val="000000" w:themeColor="text1"/>
          <w:sz w:val="22"/>
          <w:szCs w:val="22"/>
          <w:lang w:val="de-AT"/>
        </w:rPr>
        <w:t xml:space="preserve">der Verkäufe </w:t>
      </w:r>
      <w:r w:rsidR="00745CE3">
        <w:rPr>
          <w:color w:val="000000" w:themeColor="text1"/>
          <w:sz w:val="22"/>
          <w:szCs w:val="22"/>
          <w:lang w:val="de-AT"/>
        </w:rPr>
        <w:t>an</w:t>
      </w:r>
      <w:r w:rsidRPr="00A577DF">
        <w:rPr>
          <w:color w:val="000000" w:themeColor="text1"/>
          <w:sz w:val="22"/>
          <w:szCs w:val="22"/>
          <w:lang w:val="de-AT"/>
        </w:rPr>
        <w:t xml:space="preserve"> d</w:t>
      </w:r>
      <w:r w:rsidR="00A26D9C">
        <w:rPr>
          <w:color w:val="000000" w:themeColor="text1"/>
          <w:sz w:val="22"/>
          <w:szCs w:val="22"/>
          <w:lang w:val="de-AT"/>
        </w:rPr>
        <w:t>ie</w:t>
      </w:r>
      <w:r w:rsidRPr="00A577DF">
        <w:rPr>
          <w:color w:val="000000" w:themeColor="text1"/>
          <w:sz w:val="22"/>
          <w:szCs w:val="22"/>
          <w:lang w:val="de-AT"/>
        </w:rPr>
        <w:t xml:space="preserve"> profitabelsten Kanäle</w:t>
      </w:r>
      <w:r w:rsidR="00496AE8" w:rsidRPr="00A577DF">
        <w:rPr>
          <w:color w:val="000000" w:themeColor="text1"/>
          <w:sz w:val="22"/>
          <w:szCs w:val="22"/>
          <w:lang w:val="de-AT"/>
        </w:rPr>
        <w:t xml:space="preserve">: </w:t>
      </w:r>
      <w:r w:rsidRPr="00A577DF">
        <w:rPr>
          <w:color w:val="000000" w:themeColor="text1"/>
          <w:sz w:val="22"/>
          <w:szCs w:val="22"/>
          <w:lang w:val="de-AT"/>
        </w:rPr>
        <w:t>in den fünf wichtigsten Ländern Europas</w:t>
      </w:r>
      <w:r w:rsidR="005C14C3" w:rsidRPr="00A577DF">
        <w:rPr>
          <w:color w:val="000000" w:themeColor="text1"/>
          <w:vertAlign w:val="superscript"/>
          <w:lang w:val="de-AT"/>
        </w:rPr>
        <w:footnoteReference w:id="3"/>
      </w:r>
      <w:r w:rsidR="00142FC5" w:rsidRPr="00A577DF">
        <w:rPr>
          <w:color w:val="000000" w:themeColor="text1"/>
          <w:sz w:val="22"/>
          <w:szCs w:val="22"/>
          <w:lang w:val="de-AT"/>
        </w:rPr>
        <w:t xml:space="preserve"> liegt </w:t>
      </w:r>
      <w:r w:rsidRPr="00A577DF">
        <w:rPr>
          <w:color w:val="000000" w:themeColor="text1"/>
          <w:sz w:val="22"/>
          <w:szCs w:val="22"/>
          <w:lang w:val="de-AT"/>
        </w:rPr>
        <w:t xml:space="preserve">der </w:t>
      </w:r>
      <w:r w:rsidR="005C14C3" w:rsidRPr="00A577DF">
        <w:rPr>
          <w:color w:val="000000" w:themeColor="text1"/>
          <w:sz w:val="22"/>
          <w:szCs w:val="22"/>
          <w:lang w:val="de-AT"/>
        </w:rPr>
        <w:t xml:space="preserve">Mix im Einzelhandel bei </w:t>
      </w:r>
      <w:r w:rsidRPr="00A577DF">
        <w:rPr>
          <w:color w:val="000000" w:themeColor="text1"/>
          <w:sz w:val="22"/>
          <w:szCs w:val="22"/>
          <w:lang w:val="de-AT"/>
        </w:rPr>
        <w:t xml:space="preserve">69% </w:t>
      </w:r>
      <w:r w:rsidR="00142FC5" w:rsidRPr="00A577DF">
        <w:rPr>
          <w:color w:val="000000" w:themeColor="text1"/>
          <w:sz w:val="22"/>
          <w:szCs w:val="22"/>
          <w:lang w:val="de-AT"/>
        </w:rPr>
        <w:t>(</w:t>
      </w:r>
      <w:r w:rsidRPr="00A577DF">
        <w:rPr>
          <w:color w:val="000000" w:themeColor="text1"/>
          <w:sz w:val="22"/>
          <w:szCs w:val="22"/>
          <w:lang w:val="de-AT"/>
        </w:rPr>
        <w:t xml:space="preserve">gegenüber 54% im </w:t>
      </w:r>
      <w:r w:rsidR="00A26D9C">
        <w:rPr>
          <w:color w:val="000000" w:themeColor="text1"/>
          <w:sz w:val="22"/>
          <w:szCs w:val="22"/>
          <w:lang w:val="de-AT"/>
        </w:rPr>
        <w:t>ersten</w:t>
      </w:r>
      <w:r w:rsidRPr="00A577DF">
        <w:rPr>
          <w:color w:val="000000" w:themeColor="text1"/>
          <w:sz w:val="22"/>
          <w:szCs w:val="22"/>
          <w:lang w:val="de-AT"/>
        </w:rPr>
        <w:t xml:space="preserve"> Quartal 2021</w:t>
      </w:r>
      <w:r w:rsidR="00142FC5" w:rsidRPr="00A577DF">
        <w:rPr>
          <w:color w:val="000000" w:themeColor="text1"/>
          <w:sz w:val="22"/>
          <w:szCs w:val="22"/>
          <w:lang w:val="de-AT"/>
        </w:rPr>
        <w:t>).</w:t>
      </w:r>
    </w:p>
    <w:p w14:paraId="6C567038" w14:textId="77777777" w:rsidR="00D26979" w:rsidRPr="00A577DF" w:rsidRDefault="008B6935">
      <w:pPr>
        <w:pStyle w:val="RGPuce1"/>
        <w:spacing w:line="264" w:lineRule="auto"/>
        <w:jc w:val="both"/>
        <w:rPr>
          <w:sz w:val="22"/>
          <w:szCs w:val="22"/>
          <w:lang w:val="de-AT"/>
        </w:rPr>
      </w:pPr>
      <w:r w:rsidRPr="00A577DF">
        <w:rPr>
          <w:sz w:val="22"/>
          <w:szCs w:val="22"/>
          <w:lang w:val="de-AT"/>
        </w:rPr>
        <w:t xml:space="preserve">Der Auftragsbestand der Gruppe in Europa war Ende März so hoch wie seit 15 Jahren nicht mehr und entsprach dem Umsatz von 3,9 Monaten. </w:t>
      </w:r>
    </w:p>
    <w:p w14:paraId="4B1BF32A" w14:textId="50E65967" w:rsidR="00D26979" w:rsidRPr="00A577DF" w:rsidRDefault="008B6935">
      <w:pPr>
        <w:pStyle w:val="RGPuce1"/>
        <w:spacing w:line="264" w:lineRule="auto"/>
        <w:jc w:val="both"/>
        <w:rPr>
          <w:sz w:val="22"/>
          <w:szCs w:val="22"/>
          <w:lang w:val="de-AT"/>
        </w:rPr>
      </w:pPr>
      <w:r w:rsidRPr="00A577DF">
        <w:rPr>
          <w:sz w:val="22"/>
          <w:szCs w:val="22"/>
          <w:lang w:val="de-AT"/>
        </w:rPr>
        <w:t xml:space="preserve">Diese Geschäftspolitik wird durch den Erfolg der neuen </w:t>
      </w:r>
      <w:r w:rsidR="00A26D9C">
        <w:rPr>
          <w:sz w:val="22"/>
          <w:szCs w:val="22"/>
          <w:lang w:val="de-AT"/>
        </w:rPr>
        <w:t>Modelle</w:t>
      </w:r>
      <w:r w:rsidRPr="00A577DF">
        <w:rPr>
          <w:sz w:val="22"/>
          <w:szCs w:val="22"/>
          <w:lang w:val="de-AT"/>
        </w:rPr>
        <w:t xml:space="preserve"> </w:t>
      </w:r>
      <w:r w:rsidR="00B77F85" w:rsidRPr="00A577DF">
        <w:rPr>
          <w:sz w:val="22"/>
          <w:szCs w:val="22"/>
          <w:lang w:val="de-AT"/>
        </w:rPr>
        <w:t>gestärkt</w:t>
      </w:r>
      <w:r w:rsidR="0048051A" w:rsidRPr="00A577DF">
        <w:rPr>
          <w:sz w:val="22"/>
          <w:szCs w:val="22"/>
          <w:lang w:val="de-AT"/>
        </w:rPr>
        <w:t xml:space="preserve">, die </w:t>
      </w:r>
      <w:r w:rsidR="00115088" w:rsidRPr="00A577DF">
        <w:rPr>
          <w:sz w:val="22"/>
          <w:szCs w:val="22"/>
          <w:lang w:val="de-AT"/>
        </w:rPr>
        <w:t xml:space="preserve">es der </w:t>
      </w:r>
      <w:r w:rsidR="000B349B">
        <w:rPr>
          <w:sz w:val="22"/>
          <w:szCs w:val="22"/>
          <w:lang w:val="de-AT"/>
        </w:rPr>
        <w:t>Renault Group</w:t>
      </w:r>
      <w:r w:rsidR="00B77F85" w:rsidRPr="00A577DF">
        <w:rPr>
          <w:sz w:val="22"/>
          <w:szCs w:val="22"/>
          <w:lang w:val="de-AT"/>
        </w:rPr>
        <w:t xml:space="preserve"> </w:t>
      </w:r>
      <w:r w:rsidR="00115088" w:rsidRPr="00A577DF">
        <w:rPr>
          <w:sz w:val="22"/>
          <w:szCs w:val="22"/>
          <w:lang w:val="de-AT"/>
        </w:rPr>
        <w:t>ermöglichen</w:t>
      </w:r>
      <w:r w:rsidRPr="00A577DF">
        <w:rPr>
          <w:sz w:val="22"/>
          <w:szCs w:val="22"/>
          <w:lang w:val="de-AT"/>
        </w:rPr>
        <w:t xml:space="preserve">, ihre Führungsposition im Bereich der </w:t>
      </w:r>
      <w:r w:rsidR="0048051A" w:rsidRPr="00A577DF">
        <w:rPr>
          <w:sz w:val="22"/>
          <w:szCs w:val="22"/>
          <w:lang w:val="de-AT"/>
        </w:rPr>
        <w:t xml:space="preserve">Hybrid- und </w:t>
      </w:r>
      <w:r w:rsidRPr="00A577DF">
        <w:rPr>
          <w:sz w:val="22"/>
          <w:szCs w:val="22"/>
          <w:lang w:val="de-AT"/>
        </w:rPr>
        <w:t>Elektromobilität auszubauen:</w:t>
      </w:r>
    </w:p>
    <w:p w14:paraId="0A4C7A30" w14:textId="077692DC" w:rsidR="00D26979" w:rsidRPr="00A577DF" w:rsidRDefault="008B6935">
      <w:pPr>
        <w:pStyle w:val="RGPuce2"/>
        <w:numPr>
          <w:ilvl w:val="2"/>
          <w:numId w:val="11"/>
        </w:numPr>
        <w:spacing w:before="0" w:line="264" w:lineRule="auto"/>
        <w:contextualSpacing w:val="0"/>
        <w:jc w:val="both"/>
        <w:rPr>
          <w:sz w:val="22"/>
          <w:szCs w:val="22"/>
          <w:lang w:val="de-AT"/>
        </w:rPr>
      </w:pPr>
      <w:r w:rsidRPr="00A577DF">
        <w:rPr>
          <w:sz w:val="22"/>
          <w:szCs w:val="22"/>
          <w:lang w:val="de-AT"/>
        </w:rPr>
        <w:t xml:space="preserve">Der Renault Arkana verzeichnete im </w:t>
      </w:r>
      <w:r w:rsidR="00A26D9C">
        <w:rPr>
          <w:sz w:val="22"/>
          <w:szCs w:val="22"/>
          <w:lang w:val="de-AT"/>
        </w:rPr>
        <w:t xml:space="preserve">ersten </w:t>
      </w:r>
      <w:r w:rsidRPr="00A577DF">
        <w:rPr>
          <w:sz w:val="22"/>
          <w:szCs w:val="22"/>
          <w:lang w:val="de-AT"/>
        </w:rPr>
        <w:t xml:space="preserve">Quartal mehr als 9.000 Bestellungen pro Monat, davon 60 % </w:t>
      </w:r>
      <w:r w:rsidR="00A26D9C">
        <w:rPr>
          <w:sz w:val="22"/>
          <w:szCs w:val="22"/>
          <w:lang w:val="de-AT"/>
        </w:rPr>
        <w:t>der E</w:t>
      </w:r>
      <w:r w:rsidRPr="00A577DF">
        <w:rPr>
          <w:sz w:val="22"/>
          <w:szCs w:val="22"/>
          <w:lang w:val="de-AT"/>
        </w:rPr>
        <w:t>-</w:t>
      </w:r>
      <w:r w:rsidR="00990B39">
        <w:rPr>
          <w:sz w:val="22"/>
          <w:szCs w:val="22"/>
          <w:lang w:val="de-AT"/>
        </w:rPr>
        <w:t>Tech</w:t>
      </w:r>
      <w:r w:rsidRPr="00A577DF">
        <w:rPr>
          <w:sz w:val="22"/>
          <w:szCs w:val="22"/>
          <w:lang w:val="de-AT"/>
        </w:rPr>
        <w:t>-</w:t>
      </w:r>
      <w:r w:rsidR="00A26D9C">
        <w:rPr>
          <w:sz w:val="22"/>
          <w:szCs w:val="22"/>
          <w:lang w:val="de-AT"/>
        </w:rPr>
        <w:t>Hybrid-</w:t>
      </w:r>
      <w:r w:rsidRPr="00A577DF">
        <w:rPr>
          <w:sz w:val="22"/>
          <w:szCs w:val="22"/>
          <w:lang w:val="de-AT"/>
        </w:rPr>
        <w:t xml:space="preserve">Version und 60 % </w:t>
      </w:r>
      <w:r w:rsidR="00CB606A">
        <w:rPr>
          <w:sz w:val="22"/>
          <w:szCs w:val="22"/>
          <w:lang w:val="de-AT"/>
        </w:rPr>
        <w:t>von Privatkunden</w:t>
      </w:r>
      <w:r w:rsidRPr="00A577DF">
        <w:rPr>
          <w:sz w:val="22"/>
          <w:szCs w:val="22"/>
          <w:lang w:val="de-AT"/>
        </w:rPr>
        <w:t>.</w:t>
      </w:r>
    </w:p>
    <w:p w14:paraId="32F83471" w14:textId="774FEBC3" w:rsidR="00D26979" w:rsidRPr="00A577DF" w:rsidRDefault="008B6935">
      <w:pPr>
        <w:pStyle w:val="RGPuce2"/>
        <w:numPr>
          <w:ilvl w:val="2"/>
          <w:numId w:val="11"/>
        </w:numPr>
        <w:spacing w:before="0" w:line="264" w:lineRule="auto"/>
        <w:contextualSpacing w:val="0"/>
        <w:jc w:val="both"/>
        <w:rPr>
          <w:sz w:val="22"/>
          <w:szCs w:val="22"/>
          <w:lang w:val="de-AT"/>
        </w:rPr>
      </w:pPr>
      <w:r w:rsidRPr="00A577DF">
        <w:rPr>
          <w:sz w:val="22"/>
          <w:szCs w:val="22"/>
          <w:lang w:val="de-AT"/>
        </w:rPr>
        <w:t>Der Renault Megane E-</w:t>
      </w:r>
      <w:r w:rsidR="00990B39">
        <w:rPr>
          <w:sz w:val="22"/>
          <w:szCs w:val="22"/>
          <w:lang w:val="de-AT"/>
        </w:rPr>
        <w:t>Tech</w:t>
      </w:r>
      <w:r w:rsidR="00990B39" w:rsidRPr="00A577DF">
        <w:rPr>
          <w:sz w:val="22"/>
          <w:szCs w:val="22"/>
          <w:lang w:val="de-AT"/>
        </w:rPr>
        <w:t xml:space="preserve"> </w:t>
      </w:r>
      <w:r w:rsidRPr="00A577DF">
        <w:rPr>
          <w:sz w:val="22"/>
          <w:szCs w:val="22"/>
          <w:lang w:val="de-AT"/>
        </w:rPr>
        <w:t xml:space="preserve">Electric erlebt einen vielversprechenden Start mit mehr als 10.000 Bestellungen in zwei Monaten, davon </w:t>
      </w:r>
      <w:r w:rsidR="00A02006" w:rsidRPr="00A577DF">
        <w:rPr>
          <w:sz w:val="22"/>
          <w:szCs w:val="22"/>
          <w:lang w:val="de-AT"/>
        </w:rPr>
        <w:t xml:space="preserve">70% </w:t>
      </w:r>
      <w:r w:rsidRPr="00A577DF">
        <w:rPr>
          <w:sz w:val="22"/>
          <w:szCs w:val="22"/>
          <w:lang w:val="de-AT"/>
        </w:rPr>
        <w:t xml:space="preserve">für die hohen </w:t>
      </w:r>
      <w:r w:rsidR="00123AB8">
        <w:rPr>
          <w:sz w:val="22"/>
          <w:szCs w:val="22"/>
          <w:lang w:val="de-AT"/>
        </w:rPr>
        <w:t>Ausstattungsv</w:t>
      </w:r>
      <w:r w:rsidRPr="00A577DF">
        <w:rPr>
          <w:sz w:val="22"/>
          <w:szCs w:val="22"/>
          <w:lang w:val="de-AT"/>
        </w:rPr>
        <w:t>ersionen.</w:t>
      </w:r>
    </w:p>
    <w:p w14:paraId="7700A4F2" w14:textId="118920DE" w:rsidR="00D26979" w:rsidRPr="00A577DF" w:rsidRDefault="008B6935">
      <w:pPr>
        <w:pStyle w:val="RGPuce2"/>
        <w:numPr>
          <w:ilvl w:val="2"/>
          <w:numId w:val="11"/>
        </w:numPr>
        <w:spacing w:before="0" w:line="264" w:lineRule="auto"/>
        <w:contextualSpacing w:val="0"/>
        <w:jc w:val="both"/>
        <w:rPr>
          <w:sz w:val="22"/>
          <w:szCs w:val="22"/>
          <w:lang w:val="de-AT"/>
        </w:rPr>
      </w:pPr>
      <w:r w:rsidRPr="00A577DF">
        <w:rPr>
          <w:sz w:val="22"/>
          <w:szCs w:val="22"/>
          <w:lang w:val="de-AT"/>
        </w:rPr>
        <w:t>Der Dacia Sandero ist nach wie vor das meist</w:t>
      </w:r>
      <w:r w:rsidR="00123AB8">
        <w:rPr>
          <w:sz w:val="22"/>
          <w:szCs w:val="22"/>
          <w:lang w:val="de-AT"/>
        </w:rPr>
        <w:t>ge</w:t>
      </w:r>
      <w:r w:rsidRPr="00A577DF">
        <w:rPr>
          <w:sz w:val="22"/>
          <w:szCs w:val="22"/>
          <w:lang w:val="de-AT"/>
        </w:rPr>
        <w:t xml:space="preserve">kaufte Fahrzeug </w:t>
      </w:r>
      <w:r w:rsidR="005A4921">
        <w:rPr>
          <w:sz w:val="22"/>
          <w:szCs w:val="22"/>
          <w:lang w:val="de-AT"/>
        </w:rPr>
        <w:t>unter</w:t>
      </w:r>
      <w:r w:rsidRPr="00A577DF">
        <w:rPr>
          <w:sz w:val="22"/>
          <w:szCs w:val="22"/>
          <w:lang w:val="de-AT"/>
        </w:rPr>
        <w:t xml:space="preserve"> </w:t>
      </w:r>
      <w:r w:rsidR="00361C0A" w:rsidRPr="00A577DF">
        <w:rPr>
          <w:sz w:val="22"/>
          <w:szCs w:val="22"/>
          <w:lang w:val="de-AT"/>
        </w:rPr>
        <w:t xml:space="preserve">Privatkunden </w:t>
      </w:r>
      <w:r w:rsidRPr="00A577DF">
        <w:rPr>
          <w:sz w:val="22"/>
          <w:szCs w:val="22"/>
          <w:lang w:val="de-AT"/>
        </w:rPr>
        <w:t>in Europa.</w:t>
      </w:r>
    </w:p>
    <w:p w14:paraId="6EC4C635" w14:textId="608F7545" w:rsidR="00D26979" w:rsidRPr="00A577DF" w:rsidRDefault="008B6935">
      <w:pPr>
        <w:pStyle w:val="RGPuce2"/>
        <w:numPr>
          <w:ilvl w:val="2"/>
          <w:numId w:val="11"/>
        </w:numPr>
        <w:spacing w:before="0" w:line="264" w:lineRule="auto"/>
        <w:contextualSpacing w:val="0"/>
        <w:jc w:val="both"/>
        <w:rPr>
          <w:sz w:val="22"/>
          <w:szCs w:val="22"/>
          <w:lang w:val="de-AT"/>
        </w:rPr>
      </w:pPr>
      <w:r w:rsidRPr="00A577DF">
        <w:rPr>
          <w:sz w:val="22"/>
          <w:szCs w:val="22"/>
          <w:lang w:val="de-AT"/>
        </w:rPr>
        <w:t xml:space="preserve">Mit mehr als 9.000 Verkäufen in Europa und </w:t>
      </w:r>
      <w:r w:rsidRPr="00A577DF">
        <w:rPr>
          <w:color w:val="000000" w:themeColor="text1"/>
          <w:sz w:val="22"/>
          <w:szCs w:val="22"/>
          <w:lang w:val="de-AT"/>
        </w:rPr>
        <w:t xml:space="preserve">20.500 Bestellungen </w:t>
      </w:r>
      <w:r w:rsidR="007D43E5" w:rsidRPr="00A577DF">
        <w:rPr>
          <w:color w:val="000000" w:themeColor="text1"/>
          <w:sz w:val="22"/>
          <w:szCs w:val="22"/>
          <w:lang w:val="de-AT"/>
        </w:rPr>
        <w:t xml:space="preserve">im </w:t>
      </w:r>
      <w:r w:rsidR="005A4921">
        <w:rPr>
          <w:color w:val="000000" w:themeColor="text1"/>
          <w:sz w:val="22"/>
          <w:szCs w:val="22"/>
          <w:lang w:val="de-AT"/>
        </w:rPr>
        <w:t>ersten</w:t>
      </w:r>
      <w:r w:rsidR="007D43E5" w:rsidRPr="00A577DF">
        <w:rPr>
          <w:color w:val="000000" w:themeColor="text1"/>
          <w:sz w:val="22"/>
          <w:szCs w:val="22"/>
          <w:lang w:val="de-AT"/>
        </w:rPr>
        <w:t xml:space="preserve"> Quartal ist der </w:t>
      </w:r>
      <w:r w:rsidRPr="00A577DF">
        <w:rPr>
          <w:sz w:val="22"/>
          <w:szCs w:val="22"/>
          <w:lang w:val="de-AT"/>
        </w:rPr>
        <w:t xml:space="preserve">Dacia Spring 100% </w:t>
      </w:r>
      <w:proofErr w:type="spellStart"/>
      <w:r w:rsidRPr="00A577DF">
        <w:rPr>
          <w:sz w:val="22"/>
          <w:szCs w:val="22"/>
          <w:lang w:val="de-AT"/>
        </w:rPr>
        <w:t>electric</w:t>
      </w:r>
      <w:proofErr w:type="spellEnd"/>
      <w:r w:rsidRPr="00A577DF">
        <w:rPr>
          <w:sz w:val="22"/>
          <w:szCs w:val="22"/>
          <w:lang w:val="de-AT"/>
        </w:rPr>
        <w:t xml:space="preserve"> das </w:t>
      </w:r>
      <w:r w:rsidR="005A4921">
        <w:rPr>
          <w:sz w:val="22"/>
          <w:szCs w:val="22"/>
          <w:lang w:val="de-AT"/>
        </w:rPr>
        <w:t>zweit</w:t>
      </w:r>
      <w:r w:rsidRPr="00A577DF">
        <w:rPr>
          <w:sz w:val="22"/>
          <w:szCs w:val="22"/>
          <w:lang w:val="de-AT"/>
        </w:rPr>
        <w:t>meist</w:t>
      </w:r>
      <w:r w:rsidR="00914180">
        <w:rPr>
          <w:sz w:val="22"/>
          <w:szCs w:val="22"/>
          <w:lang w:val="de-AT"/>
        </w:rPr>
        <w:t>ver</w:t>
      </w:r>
      <w:r w:rsidRPr="00A577DF">
        <w:rPr>
          <w:sz w:val="22"/>
          <w:szCs w:val="22"/>
          <w:lang w:val="de-AT"/>
        </w:rPr>
        <w:t xml:space="preserve">kaufte Elektrofahrzeug in Frankreich. </w:t>
      </w:r>
    </w:p>
    <w:p w14:paraId="0DF4C77C" w14:textId="56EC2657" w:rsidR="00D26979" w:rsidRPr="00A577DF" w:rsidRDefault="008B6935">
      <w:pPr>
        <w:pStyle w:val="RGPuce2"/>
        <w:numPr>
          <w:ilvl w:val="2"/>
          <w:numId w:val="11"/>
        </w:numPr>
        <w:spacing w:before="0" w:line="264" w:lineRule="auto"/>
        <w:contextualSpacing w:val="0"/>
        <w:jc w:val="both"/>
        <w:rPr>
          <w:sz w:val="22"/>
          <w:szCs w:val="22"/>
          <w:lang w:val="de-AT"/>
        </w:rPr>
      </w:pPr>
      <w:r w:rsidRPr="00A577DF">
        <w:rPr>
          <w:color w:val="000000" w:themeColor="text1"/>
          <w:sz w:val="22"/>
          <w:szCs w:val="22"/>
          <w:lang w:val="de-AT"/>
        </w:rPr>
        <w:t xml:space="preserve">Der neue Jogger verspricht ein neuer Erfolg der Marke Dacia zu werden, mit 36.500 Bestellungen in </w:t>
      </w:r>
      <w:r w:rsidR="00FF1A68">
        <w:rPr>
          <w:color w:val="000000" w:themeColor="text1"/>
          <w:sz w:val="22"/>
          <w:szCs w:val="22"/>
          <w:lang w:val="de-AT"/>
        </w:rPr>
        <w:t>vier</w:t>
      </w:r>
      <w:r w:rsidRPr="00A577DF">
        <w:rPr>
          <w:color w:val="000000" w:themeColor="text1"/>
          <w:sz w:val="22"/>
          <w:szCs w:val="22"/>
          <w:lang w:val="de-AT"/>
        </w:rPr>
        <w:t xml:space="preserve"> Monaten und einem Anteil </w:t>
      </w:r>
      <w:r w:rsidR="00BE684B" w:rsidRPr="00A577DF">
        <w:rPr>
          <w:color w:val="000000" w:themeColor="text1"/>
          <w:sz w:val="22"/>
          <w:szCs w:val="22"/>
          <w:lang w:val="de-AT"/>
        </w:rPr>
        <w:t xml:space="preserve">von 70 % </w:t>
      </w:r>
      <w:r w:rsidRPr="00A577DF">
        <w:rPr>
          <w:color w:val="000000" w:themeColor="text1"/>
          <w:sz w:val="22"/>
          <w:szCs w:val="22"/>
          <w:lang w:val="de-AT"/>
        </w:rPr>
        <w:t xml:space="preserve">an hohen </w:t>
      </w:r>
      <w:r w:rsidR="008E1253">
        <w:rPr>
          <w:color w:val="000000" w:themeColor="text1"/>
          <w:sz w:val="22"/>
          <w:szCs w:val="22"/>
          <w:lang w:val="de-AT"/>
        </w:rPr>
        <w:t>Ausstattungsv</w:t>
      </w:r>
      <w:r w:rsidRPr="00A577DF">
        <w:rPr>
          <w:color w:val="000000" w:themeColor="text1"/>
          <w:sz w:val="22"/>
          <w:szCs w:val="22"/>
          <w:lang w:val="de-AT"/>
        </w:rPr>
        <w:t>ersionen in Europa</w:t>
      </w:r>
      <w:r w:rsidR="00C05666" w:rsidRPr="00A577DF">
        <w:rPr>
          <w:color w:val="000000" w:themeColor="text1"/>
          <w:sz w:val="22"/>
          <w:szCs w:val="22"/>
          <w:lang w:val="de-AT"/>
        </w:rPr>
        <w:t>.</w:t>
      </w:r>
    </w:p>
    <w:p w14:paraId="029586A4" w14:textId="60E24814" w:rsidR="00D26979" w:rsidRPr="00A577DF" w:rsidRDefault="008B6935">
      <w:pPr>
        <w:pStyle w:val="RGPuce2"/>
        <w:numPr>
          <w:ilvl w:val="2"/>
          <w:numId w:val="11"/>
        </w:numPr>
        <w:spacing w:before="0" w:line="264" w:lineRule="auto"/>
        <w:contextualSpacing w:val="0"/>
        <w:jc w:val="both"/>
        <w:rPr>
          <w:sz w:val="22"/>
          <w:szCs w:val="24"/>
          <w:lang w:val="de-AT"/>
        </w:rPr>
      </w:pPr>
      <w:r w:rsidRPr="00A577DF">
        <w:rPr>
          <w:sz w:val="22"/>
          <w:szCs w:val="24"/>
          <w:lang w:val="de-AT"/>
        </w:rPr>
        <w:lastRenderedPageBreak/>
        <w:t xml:space="preserve">Die </w:t>
      </w:r>
      <w:r w:rsidR="00D67B96" w:rsidRPr="00A577DF">
        <w:rPr>
          <w:sz w:val="22"/>
          <w:szCs w:val="24"/>
          <w:lang w:val="de-AT"/>
        </w:rPr>
        <w:t>E-</w:t>
      </w:r>
      <w:r w:rsidR="00990B39">
        <w:rPr>
          <w:sz w:val="22"/>
          <w:szCs w:val="22"/>
          <w:lang w:val="de-AT"/>
        </w:rPr>
        <w:t>Tech</w:t>
      </w:r>
      <w:r w:rsidR="00D67B96" w:rsidRPr="00A577DF">
        <w:rPr>
          <w:sz w:val="22"/>
          <w:szCs w:val="24"/>
          <w:lang w:val="de-AT"/>
        </w:rPr>
        <w:t xml:space="preserve">-Produktpalette </w:t>
      </w:r>
      <w:r w:rsidRPr="00A577DF">
        <w:rPr>
          <w:sz w:val="22"/>
          <w:szCs w:val="24"/>
          <w:lang w:val="de-AT"/>
        </w:rPr>
        <w:t xml:space="preserve">(100 % Elektro-, Plug-in-Hybrid- und Hybrid-Fahrzeuge) machte im Berichtsquartal 36 % der Pkw-Verkäufe der Marke Renault in Europa aus, 13 Prozentpunkte mehr als </w:t>
      </w:r>
      <w:r w:rsidR="00B37436" w:rsidRPr="00A577DF">
        <w:rPr>
          <w:color w:val="000000" w:themeColor="text1"/>
          <w:sz w:val="22"/>
          <w:szCs w:val="22"/>
          <w:lang w:val="de-AT"/>
        </w:rPr>
        <w:t xml:space="preserve">im </w:t>
      </w:r>
      <w:r w:rsidR="008E1253">
        <w:rPr>
          <w:color w:val="000000" w:themeColor="text1"/>
          <w:sz w:val="22"/>
          <w:szCs w:val="22"/>
          <w:lang w:val="de-AT"/>
        </w:rPr>
        <w:t>ersten</w:t>
      </w:r>
      <w:r w:rsidR="00B37436" w:rsidRPr="00A577DF">
        <w:rPr>
          <w:color w:val="000000" w:themeColor="text1"/>
          <w:sz w:val="22"/>
          <w:szCs w:val="22"/>
          <w:lang w:val="de-AT"/>
        </w:rPr>
        <w:t xml:space="preserve"> Quartal 2021</w:t>
      </w:r>
      <w:r w:rsidR="008F129C" w:rsidRPr="00A577DF">
        <w:rPr>
          <w:sz w:val="22"/>
          <w:szCs w:val="24"/>
          <w:lang w:val="de-AT"/>
        </w:rPr>
        <w:t>.</w:t>
      </w:r>
    </w:p>
    <w:p w14:paraId="3D5AE399" w14:textId="77777777" w:rsidR="00D26979" w:rsidRPr="00A577DF" w:rsidRDefault="008B6935">
      <w:pPr>
        <w:pStyle w:val="Listenabsatz"/>
        <w:numPr>
          <w:ilvl w:val="0"/>
          <w:numId w:val="41"/>
        </w:numPr>
        <w:tabs>
          <w:tab w:val="clear" w:pos="1068"/>
        </w:tabs>
        <w:spacing w:line="264" w:lineRule="auto"/>
        <w:ind w:left="284" w:hanging="284"/>
        <w:contextualSpacing w:val="0"/>
        <w:jc w:val="both"/>
        <w:rPr>
          <w:sz w:val="22"/>
          <w:szCs w:val="22"/>
          <w:lang w:val="de-AT"/>
        </w:rPr>
      </w:pPr>
      <w:bookmarkStart w:id="2" w:name="_Hlk95144326"/>
      <w:bookmarkEnd w:id="1"/>
      <w:r w:rsidRPr="00A577DF">
        <w:rPr>
          <w:sz w:val="22"/>
          <w:szCs w:val="22"/>
          <w:lang w:val="de-AT"/>
        </w:rPr>
        <w:t>Die Gruppe stärkt ihre Wettbewerbsfähigkeit durch zusätzliche Kostensenkungsprogramme.</w:t>
      </w:r>
    </w:p>
    <w:p w14:paraId="62DA29E4" w14:textId="5F817860" w:rsidR="00D26979" w:rsidRPr="00A577DF" w:rsidRDefault="0059106E">
      <w:pPr>
        <w:pStyle w:val="Listenabsatz"/>
        <w:numPr>
          <w:ilvl w:val="0"/>
          <w:numId w:val="41"/>
        </w:numPr>
        <w:tabs>
          <w:tab w:val="clear" w:pos="1068"/>
        </w:tabs>
        <w:spacing w:line="264" w:lineRule="auto"/>
        <w:ind w:left="284" w:hanging="284"/>
        <w:contextualSpacing w:val="0"/>
        <w:jc w:val="both"/>
        <w:rPr>
          <w:sz w:val="22"/>
          <w:szCs w:val="22"/>
          <w:lang w:val="de-AT"/>
        </w:rPr>
      </w:pPr>
      <w:r w:rsidRPr="00A577DF">
        <w:rPr>
          <w:sz w:val="22"/>
          <w:szCs w:val="22"/>
          <w:lang w:val="de-AT"/>
        </w:rPr>
        <w:t>Die Renault</w:t>
      </w:r>
      <w:r w:rsidR="008E1253">
        <w:rPr>
          <w:sz w:val="22"/>
          <w:szCs w:val="22"/>
          <w:lang w:val="de-AT"/>
        </w:rPr>
        <w:t xml:space="preserve"> </w:t>
      </w:r>
      <w:r w:rsidRPr="00A577DF">
        <w:rPr>
          <w:sz w:val="22"/>
          <w:szCs w:val="22"/>
          <w:lang w:val="de-AT"/>
        </w:rPr>
        <w:t>Gr</w:t>
      </w:r>
      <w:r w:rsidR="008E1253">
        <w:rPr>
          <w:sz w:val="22"/>
          <w:szCs w:val="22"/>
          <w:lang w:val="de-AT"/>
        </w:rPr>
        <w:t>oup</w:t>
      </w:r>
      <w:r w:rsidRPr="00A577DF">
        <w:rPr>
          <w:sz w:val="22"/>
          <w:szCs w:val="22"/>
          <w:lang w:val="de-AT"/>
        </w:rPr>
        <w:t xml:space="preserve"> </w:t>
      </w:r>
      <w:r w:rsidR="008B6935" w:rsidRPr="00A577DF">
        <w:rPr>
          <w:sz w:val="22"/>
          <w:szCs w:val="22"/>
          <w:lang w:val="de-AT"/>
        </w:rPr>
        <w:t xml:space="preserve">bestätigt ihren am </w:t>
      </w:r>
      <w:r w:rsidR="002A1B12" w:rsidRPr="00A577DF">
        <w:rPr>
          <w:sz w:val="22"/>
          <w:szCs w:val="22"/>
          <w:lang w:val="de-AT"/>
        </w:rPr>
        <w:t xml:space="preserve">23. </w:t>
      </w:r>
      <w:r w:rsidR="008B6935" w:rsidRPr="00A577DF">
        <w:rPr>
          <w:sz w:val="22"/>
          <w:szCs w:val="22"/>
          <w:lang w:val="de-AT"/>
        </w:rPr>
        <w:t>März 2022 angekündigten Finanzausblick.</w:t>
      </w:r>
    </w:p>
    <w:p w14:paraId="66860158" w14:textId="25F8AA83" w:rsidR="00D26979" w:rsidRPr="00A577DF" w:rsidRDefault="008B6935">
      <w:pPr>
        <w:pStyle w:val="Listenabsatz"/>
        <w:numPr>
          <w:ilvl w:val="0"/>
          <w:numId w:val="41"/>
        </w:numPr>
        <w:spacing w:line="264" w:lineRule="auto"/>
        <w:ind w:left="284"/>
        <w:contextualSpacing w:val="0"/>
        <w:jc w:val="both"/>
        <w:rPr>
          <w:sz w:val="22"/>
          <w:szCs w:val="22"/>
          <w:lang w:val="de-AT"/>
        </w:rPr>
      </w:pPr>
      <w:r w:rsidRPr="00A577DF">
        <w:rPr>
          <w:sz w:val="22"/>
          <w:szCs w:val="22"/>
          <w:lang w:val="de-AT"/>
        </w:rPr>
        <w:t>Die Renault</w:t>
      </w:r>
      <w:r w:rsidR="008E1253">
        <w:rPr>
          <w:sz w:val="22"/>
          <w:szCs w:val="22"/>
          <w:lang w:val="de-AT"/>
        </w:rPr>
        <w:t xml:space="preserve"> Group</w:t>
      </w:r>
      <w:r w:rsidRPr="00A577DF">
        <w:rPr>
          <w:sz w:val="22"/>
          <w:szCs w:val="22"/>
          <w:lang w:val="de-AT"/>
        </w:rPr>
        <w:t xml:space="preserve"> wird auf einem Kapitalmarkttag im Herbst 2022 eine Aktualisierung ihrer finanziellen Ziele und ihrer Strategie zur Positionierung der Gruppe als wettbewerbsfähiger, technologischer und nachhaltiger Referenzakteur vorstellen.</w:t>
      </w:r>
    </w:p>
    <w:p w14:paraId="3DEE6DED" w14:textId="77777777" w:rsidR="00C22331" w:rsidRPr="00A577DF" w:rsidRDefault="00C22331" w:rsidP="00C22331">
      <w:pPr>
        <w:pStyle w:val="Listenabsatz"/>
        <w:spacing w:line="240" w:lineRule="auto"/>
        <w:ind w:left="284"/>
        <w:jc w:val="both"/>
        <w:rPr>
          <w:lang w:val="de-AT"/>
        </w:rPr>
      </w:pPr>
    </w:p>
    <w:p w14:paraId="7EFBF895" w14:textId="20EBC0DD" w:rsidR="00D26979" w:rsidRPr="00A577DF" w:rsidRDefault="008B6935">
      <w:pPr>
        <w:spacing w:line="240" w:lineRule="auto"/>
        <w:jc w:val="both"/>
        <w:rPr>
          <w:rFonts w:asciiTheme="majorHAnsi" w:hAnsiTheme="majorHAnsi"/>
          <w:i/>
          <w:iCs/>
          <w:sz w:val="22"/>
          <w:szCs w:val="22"/>
          <w:lang w:val="de-AT"/>
        </w:rPr>
      </w:pPr>
      <w:r w:rsidRPr="005C37CF">
        <w:rPr>
          <w:rFonts w:asciiTheme="majorHAnsi" w:hAnsiTheme="majorHAnsi"/>
          <w:i/>
          <w:iCs/>
          <w:sz w:val="22"/>
          <w:szCs w:val="22"/>
          <w:lang w:val="de-AT"/>
        </w:rPr>
        <w:t>"Die</w:t>
      </w:r>
      <w:r w:rsidRPr="005C37CF">
        <w:rPr>
          <w:i/>
          <w:iCs/>
          <w:sz w:val="22"/>
          <w:szCs w:val="22"/>
          <w:lang w:val="de-AT"/>
        </w:rPr>
        <w:t xml:space="preserve"> </w:t>
      </w:r>
      <w:r w:rsidR="00087AAA" w:rsidRPr="005C37CF">
        <w:rPr>
          <w:rFonts w:asciiTheme="majorHAnsi" w:hAnsiTheme="majorHAnsi"/>
          <w:i/>
          <w:iCs/>
          <w:sz w:val="22"/>
          <w:szCs w:val="22"/>
          <w:lang w:val="de-AT"/>
        </w:rPr>
        <w:t>Wertschöpfung</w:t>
      </w:r>
      <w:r w:rsidR="00087AAA" w:rsidRPr="00A577DF">
        <w:rPr>
          <w:rFonts w:asciiTheme="majorHAnsi" w:hAnsiTheme="majorHAnsi"/>
          <w:i/>
          <w:iCs/>
          <w:sz w:val="22"/>
          <w:szCs w:val="22"/>
          <w:lang w:val="de-AT"/>
        </w:rPr>
        <w:t xml:space="preserve"> steht im Mittelpunkt der </w:t>
      </w:r>
      <w:r w:rsidR="008E34CE" w:rsidRPr="00A577DF">
        <w:rPr>
          <w:rFonts w:asciiTheme="majorHAnsi" w:hAnsiTheme="majorHAnsi"/>
          <w:i/>
          <w:iCs/>
          <w:sz w:val="22"/>
          <w:szCs w:val="22"/>
          <w:lang w:val="de-AT"/>
        </w:rPr>
        <w:t xml:space="preserve">Strategie der </w:t>
      </w:r>
      <w:r w:rsidR="000B349B">
        <w:rPr>
          <w:rFonts w:asciiTheme="majorHAnsi" w:hAnsiTheme="majorHAnsi"/>
          <w:i/>
          <w:iCs/>
          <w:sz w:val="22"/>
          <w:szCs w:val="22"/>
          <w:lang w:val="de-AT"/>
        </w:rPr>
        <w:t>Renault Group</w:t>
      </w:r>
      <w:r w:rsidR="008E34CE" w:rsidRPr="00A577DF">
        <w:rPr>
          <w:rFonts w:asciiTheme="majorHAnsi" w:hAnsiTheme="majorHAnsi"/>
          <w:i/>
          <w:iCs/>
          <w:sz w:val="22"/>
          <w:szCs w:val="22"/>
          <w:lang w:val="de-AT"/>
        </w:rPr>
        <w:t xml:space="preserve"> und spiegelt sich in den </w:t>
      </w:r>
      <w:r w:rsidR="00E652C8" w:rsidRPr="00A577DF">
        <w:rPr>
          <w:rFonts w:asciiTheme="majorHAnsi" w:hAnsiTheme="majorHAnsi"/>
          <w:i/>
          <w:iCs/>
          <w:sz w:val="22"/>
          <w:szCs w:val="22"/>
          <w:lang w:val="de-AT"/>
        </w:rPr>
        <w:t xml:space="preserve">Aktivitäten </w:t>
      </w:r>
      <w:r w:rsidR="006C1067" w:rsidRPr="00A577DF">
        <w:rPr>
          <w:rFonts w:asciiTheme="majorHAnsi" w:hAnsiTheme="majorHAnsi"/>
          <w:i/>
          <w:iCs/>
          <w:sz w:val="22"/>
          <w:szCs w:val="22"/>
          <w:lang w:val="de-AT"/>
        </w:rPr>
        <w:t xml:space="preserve">des </w:t>
      </w:r>
      <w:r w:rsidR="008E1253">
        <w:rPr>
          <w:rFonts w:asciiTheme="majorHAnsi" w:hAnsiTheme="majorHAnsi"/>
          <w:i/>
          <w:iCs/>
          <w:sz w:val="22"/>
          <w:szCs w:val="22"/>
          <w:lang w:val="de-AT"/>
        </w:rPr>
        <w:t>ersten</w:t>
      </w:r>
      <w:r w:rsidR="006F5C17" w:rsidRPr="00A577DF">
        <w:rPr>
          <w:rFonts w:asciiTheme="majorHAnsi" w:hAnsiTheme="majorHAnsi"/>
          <w:i/>
          <w:iCs/>
          <w:sz w:val="22"/>
          <w:szCs w:val="22"/>
          <w:lang w:val="de-AT"/>
        </w:rPr>
        <w:t xml:space="preserve"> Quartals </w:t>
      </w:r>
      <w:r w:rsidR="00557E02" w:rsidRPr="00A577DF">
        <w:rPr>
          <w:rFonts w:asciiTheme="majorHAnsi" w:hAnsiTheme="majorHAnsi"/>
          <w:i/>
          <w:iCs/>
          <w:sz w:val="22"/>
          <w:szCs w:val="22"/>
          <w:lang w:val="de-AT"/>
        </w:rPr>
        <w:t xml:space="preserve">2022 </w:t>
      </w:r>
      <w:r w:rsidR="008E34CE" w:rsidRPr="00A577DF">
        <w:rPr>
          <w:rFonts w:asciiTheme="majorHAnsi" w:hAnsiTheme="majorHAnsi"/>
          <w:i/>
          <w:iCs/>
          <w:sz w:val="22"/>
          <w:szCs w:val="22"/>
          <w:lang w:val="de-AT"/>
        </w:rPr>
        <w:t>wider</w:t>
      </w:r>
      <w:r w:rsidR="006F5C17" w:rsidRPr="00A577DF">
        <w:rPr>
          <w:rFonts w:asciiTheme="majorHAnsi" w:hAnsiTheme="majorHAnsi"/>
          <w:i/>
          <w:iCs/>
          <w:sz w:val="22"/>
          <w:szCs w:val="22"/>
          <w:lang w:val="de-AT"/>
        </w:rPr>
        <w:t xml:space="preserve">. Unsere Verkäufe auf den profitabelsten Kanälen wachsen weiter </w:t>
      </w:r>
      <w:r w:rsidR="005B4B4A" w:rsidRPr="00A577DF">
        <w:rPr>
          <w:rFonts w:asciiTheme="majorHAnsi" w:hAnsiTheme="majorHAnsi"/>
          <w:i/>
          <w:iCs/>
          <w:sz w:val="22"/>
          <w:szCs w:val="22"/>
          <w:lang w:val="de-AT"/>
        </w:rPr>
        <w:t xml:space="preserve">und die </w:t>
      </w:r>
      <w:r w:rsidR="00CA1040" w:rsidRPr="00A577DF">
        <w:rPr>
          <w:rFonts w:asciiTheme="majorHAnsi" w:hAnsiTheme="majorHAnsi"/>
          <w:i/>
          <w:iCs/>
          <w:sz w:val="22"/>
          <w:szCs w:val="22"/>
          <w:lang w:val="de-AT"/>
        </w:rPr>
        <w:t xml:space="preserve">proaktive Handelspolitik </w:t>
      </w:r>
      <w:r w:rsidRPr="00A577DF">
        <w:rPr>
          <w:rFonts w:asciiTheme="majorHAnsi" w:hAnsiTheme="majorHAnsi"/>
          <w:i/>
          <w:iCs/>
          <w:sz w:val="22"/>
          <w:szCs w:val="22"/>
          <w:lang w:val="de-AT"/>
        </w:rPr>
        <w:t>der Gruppe</w:t>
      </w:r>
      <w:r w:rsidR="00CA1040" w:rsidRPr="00A577DF">
        <w:rPr>
          <w:rFonts w:asciiTheme="majorHAnsi" w:hAnsiTheme="majorHAnsi"/>
          <w:i/>
          <w:iCs/>
          <w:sz w:val="22"/>
          <w:szCs w:val="22"/>
          <w:lang w:val="de-AT"/>
        </w:rPr>
        <w:t xml:space="preserve">, die seit </w:t>
      </w:r>
      <w:r w:rsidR="00E1543D" w:rsidRPr="00A577DF">
        <w:rPr>
          <w:rFonts w:asciiTheme="majorHAnsi" w:hAnsiTheme="majorHAnsi"/>
          <w:i/>
          <w:iCs/>
          <w:sz w:val="22"/>
          <w:szCs w:val="22"/>
          <w:lang w:val="de-AT"/>
        </w:rPr>
        <w:t xml:space="preserve">Mitte 2020 </w:t>
      </w:r>
      <w:r w:rsidR="00CA1040" w:rsidRPr="00A577DF">
        <w:rPr>
          <w:rFonts w:asciiTheme="majorHAnsi" w:hAnsiTheme="majorHAnsi"/>
          <w:i/>
          <w:iCs/>
          <w:sz w:val="22"/>
          <w:szCs w:val="22"/>
          <w:lang w:val="de-AT"/>
        </w:rPr>
        <w:t xml:space="preserve">umgesetzt wird, trägt </w:t>
      </w:r>
      <w:r w:rsidR="00E1543D" w:rsidRPr="00A577DF">
        <w:rPr>
          <w:rFonts w:asciiTheme="majorHAnsi" w:hAnsiTheme="majorHAnsi"/>
          <w:i/>
          <w:iCs/>
          <w:sz w:val="22"/>
          <w:szCs w:val="22"/>
          <w:lang w:val="de-AT"/>
        </w:rPr>
        <w:t xml:space="preserve">Früchte. </w:t>
      </w:r>
      <w:r w:rsidR="00F6750B" w:rsidRPr="00A577DF">
        <w:rPr>
          <w:rFonts w:asciiTheme="majorHAnsi" w:hAnsiTheme="majorHAnsi"/>
          <w:i/>
          <w:iCs/>
          <w:sz w:val="22"/>
          <w:szCs w:val="22"/>
          <w:lang w:val="de-AT"/>
        </w:rPr>
        <w:t xml:space="preserve">Darüber hinaus </w:t>
      </w:r>
      <w:r w:rsidR="00B4062B" w:rsidRPr="00A577DF">
        <w:rPr>
          <w:rFonts w:asciiTheme="majorHAnsi" w:hAnsiTheme="majorHAnsi"/>
          <w:i/>
          <w:iCs/>
          <w:sz w:val="22"/>
          <w:szCs w:val="22"/>
          <w:lang w:val="de-AT"/>
        </w:rPr>
        <w:t xml:space="preserve">wird </w:t>
      </w:r>
      <w:r w:rsidR="00CA1040" w:rsidRPr="00A577DF">
        <w:rPr>
          <w:rFonts w:asciiTheme="majorHAnsi" w:hAnsiTheme="majorHAnsi"/>
          <w:i/>
          <w:iCs/>
          <w:sz w:val="22"/>
          <w:szCs w:val="22"/>
          <w:lang w:val="de-AT"/>
        </w:rPr>
        <w:t xml:space="preserve">das </w:t>
      </w:r>
      <w:r w:rsidR="004E5490" w:rsidRPr="00A577DF">
        <w:rPr>
          <w:rFonts w:asciiTheme="majorHAnsi" w:hAnsiTheme="majorHAnsi"/>
          <w:i/>
          <w:iCs/>
          <w:sz w:val="22"/>
          <w:szCs w:val="22"/>
          <w:lang w:val="de-AT"/>
        </w:rPr>
        <w:t>E-</w:t>
      </w:r>
      <w:r w:rsidR="00990B39" w:rsidRPr="005C37CF">
        <w:rPr>
          <w:rFonts w:asciiTheme="majorHAnsi" w:hAnsiTheme="majorHAnsi"/>
          <w:i/>
          <w:iCs/>
          <w:sz w:val="22"/>
          <w:szCs w:val="22"/>
          <w:lang w:val="de-AT"/>
        </w:rPr>
        <w:t xml:space="preserve"> Tech</w:t>
      </w:r>
      <w:r w:rsidR="00990B39" w:rsidRPr="00A577DF">
        <w:rPr>
          <w:rFonts w:asciiTheme="majorHAnsi" w:hAnsiTheme="majorHAnsi"/>
          <w:i/>
          <w:iCs/>
          <w:sz w:val="22"/>
          <w:szCs w:val="22"/>
          <w:lang w:val="de-AT"/>
        </w:rPr>
        <w:t xml:space="preserve"> </w:t>
      </w:r>
      <w:r w:rsidR="004E5490" w:rsidRPr="00A577DF">
        <w:rPr>
          <w:rFonts w:asciiTheme="majorHAnsi" w:hAnsiTheme="majorHAnsi"/>
          <w:i/>
          <w:iCs/>
          <w:sz w:val="22"/>
          <w:szCs w:val="22"/>
          <w:lang w:val="de-AT"/>
        </w:rPr>
        <w:t xml:space="preserve">-Angebot </w:t>
      </w:r>
      <w:r w:rsidR="006354ED" w:rsidRPr="00A577DF">
        <w:rPr>
          <w:rFonts w:asciiTheme="majorHAnsi" w:hAnsiTheme="majorHAnsi"/>
          <w:i/>
          <w:iCs/>
          <w:sz w:val="22"/>
          <w:szCs w:val="22"/>
          <w:lang w:val="de-AT"/>
        </w:rPr>
        <w:t xml:space="preserve">immer </w:t>
      </w:r>
      <w:r w:rsidR="00AF694F" w:rsidRPr="00A577DF">
        <w:rPr>
          <w:rFonts w:asciiTheme="majorHAnsi" w:hAnsiTheme="majorHAnsi"/>
          <w:i/>
          <w:iCs/>
          <w:sz w:val="22"/>
          <w:szCs w:val="22"/>
          <w:lang w:val="de-AT"/>
        </w:rPr>
        <w:t>erfolgreicher</w:t>
      </w:r>
      <w:r w:rsidR="00444E90" w:rsidRPr="00A577DF">
        <w:rPr>
          <w:rFonts w:asciiTheme="majorHAnsi" w:hAnsiTheme="majorHAnsi"/>
          <w:i/>
          <w:iCs/>
          <w:sz w:val="22"/>
          <w:szCs w:val="22"/>
          <w:lang w:val="de-AT"/>
        </w:rPr>
        <w:t xml:space="preserve">. </w:t>
      </w:r>
      <w:r w:rsidR="00C16B77" w:rsidRPr="00A577DF">
        <w:rPr>
          <w:rFonts w:asciiTheme="majorHAnsi" w:hAnsiTheme="majorHAnsi"/>
          <w:i/>
          <w:iCs/>
          <w:sz w:val="22"/>
          <w:szCs w:val="22"/>
          <w:lang w:val="de-AT"/>
        </w:rPr>
        <w:t>Der Auftragsbestand</w:t>
      </w:r>
      <w:r w:rsidR="00F6750B" w:rsidRPr="00A577DF">
        <w:rPr>
          <w:rFonts w:asciiTheme="majorHAnsi" w:hAnsiTheme="majorHAnsi"/>
          <w:i/>
          <w:iCs/>
          <w:sz w:val="22"/>
          <w:szCs w:val="22"/>
          <w:lang w:val="de-AT"/>
        </w:rPr>
        <w:t xml:space="preserve">, der sich </w:t>
      </w:r>
      <w:r w:rsidR="00497F5B" w:rsidRPr="00A577DF">
        <w:rPr>
          <w:rFonts w:asciiTheme="majorHAnsi" w:hAnsiTheme="majorHAnsi"/>
          <w:i/>
          <w:iCs/>
          <w:sz w:val="22"/>
          <w:szCs w:val="22"/>
          <w:lang w:val="de-AT"/>
        </w:rPr>
        <w:t>auf einem Rekordniveau befindet</w:t>
      </w:r>
      <w:r w:rsidR="00F6750B" w:rsidRPr="00A577DF">
        <w:rPr>
          <w:rFonts w:asciiTheme="majorHAnsi" w:hAnsiTheme="majorHAnsi"/>
          <w:i/>
          <w:iCs/>
          <w:sz w:val="22"/>
          <w:szCs w:val="22"/>
          <w:lang w:val="de-AT"/>
        </w:rPr>
        <w:t xml:space="preserve">, nimmt zu </w:t>
      </w:r>
      <w:r w:rsidR="0077315C" w:rsidRPr="00A577DF">
        <w:rPr>
          <w:rFonts w:asciiTheme="majorHAnsi" w:hAnsiTheme="majorHAnsi"/>
          <w:i/>
          <w:iCs/>
          <w:sz w:val="22"/>
          <w:szCs w:val="22"/>
          <w:lang w:val="de-AT"/>
        </w:rPr>
        <w:t xml:space="preserve">und </w:t>
      </w:r>
      <w:r w:rsidR="00DC29DA" w:rsidRPr="00A577DF">
        <w:rPr>
          <w:rFonts w:asciiTheme="majorHAnsi" w:hAnsiTheme="majorHAnsi"/>
          <w:i/>
          <w:iCs/>
          <w:sz w:val="22"/>
          <w:szCs w:val="22"/>
          <w:lang w:val="de-AT"/>
        </w:rPr>
        <w:t xml:space="preserve">profitiert von </w:t>
      </w:r>
      <w:r w:rsidR="005B4956" w:rsidRPr="00A577DF">
        <w:rPr>
          <w:rFonts w:asciiTheme="majorHAnsi" w:hAnsiTheme="majorHAnsi"/>
          <w:i/>
          <w:iCs/>
          <w:sz w:val="22"/>
          <w:szCs w:val="22"/>
          <w:lang w:val="de-AT"/>
        </w:rPr>
        <w:t xml:space="preserve">unserem </w:t>
      </w:r>
      <w:r w:rsidR="004778C1" w:rsidRPr="00A577DF">
        <w:rPr>
          <w:rFonts w:asciiTheme="majorHAnsi" w:hAnsiTheme="majorHAnsi"/>
          <w:i/>
          <w:iCs/>
          <w:sz w:val="22"/>
          <w:szCs w:val="22"/>
          <w:lang w:val="de-AT"/>
        </w:rPr>
        <w:t xml:space="preserve">vielversprechenden und wettbewerbsfähigen </w:t>
      </w:r>
      <w:r w:rsidR="0040485D" w:rsidRPr="00A577DF">
        <w:rPr>
          <w:rFonts w:asciiTheme="majorHAnsi" w:hAnsiTheme="majorHAnsi"/>
          <w:i/>
          <w:iCs/>
          <w:sz w:val="22"/>
          <w:szCs w:val="22"/>
          <w:lang w:val="de-AT"/>
        </w:rPr>
        <w:t xml:space="preserve">Angebot </w:t>
      </w:r>
      <w:r w:rsidR="00BE67C6" w:rsidRPr="00A577DF">
        <w:rPr>
          <w:rFonts w:asciiTheme="majorHAnsi" w:hAnsiTheme="majorHAnsi"/>
          <w:i/>
          <w:iCs/>
          <w:sz w:val="22"/>
          <w:szCs w:val="22"/>
          <w:lang w:val="de-AT"/>
        </w:rPr>
        <w:t>an neuen Fahrzeugen</w:t>
      </w:r>
      <w:r w:rsidR="00F6750B" w:rsidRPr="00A577DF">
        <w:rPr>
          <w:rFonts w:asciiTheme="majorHAnsi" w:hAnsiTheme="majorHAnsi"/>
          <w:i/>
          <w:iCs/>
          <w:sz w:val="22"/>
          <w:szCs w:val="22"/>
          <w:lang w:val="de-AT"/>
        </w:rPr>
        <w:t xml:space="preserve">. </w:t>
      </w:r>
    </w:p>
    <w:p w14:paraId="237C6404" w14:textId="3276736D" w:rsidR="00D26979" w:rsidRPr="00A577DF" w:rsidRDefault="008B6935">
      <w:pPr>
        <w:spacing w:line="240" w:lineRule="auto"/>
        <w:jc w:val="both"/>
        <w:rPr>
          <w:rFonts w:eastAsia="Renault Group" w:cs="Times New Roman"/>
          <w:b/>
          <w:bCs/>
          <w:sz w:val="22"/>
          <w:szCs w:val="22"/>
          <w:lang w:val="de-AT"/>
        </w:rPr>
      </w:pPr>
      <w:r w:rsidRPr="00A577DF">
        <w:rPr>
          <w:rFonts w:asciiTheme="majorHAnsi" w:hAnsiTheme="majorHAnsi"/>
          <w:i/>
          <w:iCs/>
          <w:sz w:val="22"/>
          <w:szCs w:val="22"/>
          <w:lang w:val="de-AT"/>
        </w:rPr>
        <w:t xml:space="preserve">In einem Marktumfeld, </w:t>
      </w:r>
      <w:r w:rsidR="006E7327" w:rsidRPr="00A577DF">
        <w:rPr>
          <w:rFonts w:asciiTheme="majorHAnsi" w:hAnsiTheme="majorHAnsi"/>
          <w:i/>
          <w:iCs/>
          <w:sz w:val="22"/>
          <w:szCs w:val="22"/>
          <w:lang w:val="de-AT"/>
        </w:rPr>
        <w:t>das durch den Konflikt in der Ukraine</w:t>
      </w:r>
      <w:r w:rsidR="00361718" w:rsidRPr="00A577DF">
        <w:rPr>
          <w:rFonts w:asciiTheme="majorHAnsi" w:hAnsiTheme="majorHAnsi"/>
          <w:i/>
          <w:iCs/>
          <w:sz w:val="22"/>
          <w:szCs w:val="22"/>
          <w:lang w:val="de-AT"/>
        </w:rPr>
        <w:t xml:space="preserve">, die </w:t>
      </w:r>
      <w:r w:rsidR="006E7327" w:rsidRPr="00A577DF">
        <w:rPr>
          <w:rFonts w:asciiTheme="majorHAnsi" w:hAnsiTheme="majorHAnsi"/>
          <w:i/>
          <w:iCs/>
          <w:sz w:val="22"/>
          <w:szCs w:val="22"/>
          <w:lang w:val="de-AT"/>
        </w:rPr>
        <w:t xml:space="preserve">Halbleiterkrise </w:t>
      </w:r>
      <w:r w:rsidR="00361718" w:rsidRPr="00A577DF">
        <w:rPr>
          <w:rFonts w:asciiTheme="majorHAnsi" w:hAnsiTheme="majorHAnsi"/>
          <w:i/>
          <w:iCs/>
          <w:sz w:val="22"/>
          <w:szCs w:val="22"/>
          <w:lang w:val="de-AT"/>
        </w:rPr>
        <w:t xml:space="preserve">und die Inflation </w:t>
      </w:r>
      <w:r w:rsidR="006E7327" w:rsidRPr="00A577DF">
        <w:rPr>
          <w:rFonts w:asciiTheme="majorHAnsi" w:hAnsiTheme="majorHAnsi"/>
          <w:i/>
          <w:iCs/>
          <w:sz w:val="22"/>
          <w:szCs w:val="22"/>
          <w:lang w:val="de-AT"/>
        </w:rPr>
        <w:t>stark beeinträchtigt wurde</w:t>
      </w:r>
      <w:r w:rsidR="00361718" w:rsidRPr="00A577DF">
        <w:rPr>
          <w:rFonts w:asciiTheme="majorHAnsi" w:hAnsiTheme="majorHAnsi"/>
          <w:i/>
          <w:iCs/>
          <w:sz w:val="22"/>
          <w:szCs w:val="22"/>
          <w:lang w:val="de-AT"/>
        </w:rPr>
        <w:t xml:space="preserve">, </w:t>
      </w:r>
      <w:r w:rsidR="00AC2C92" w:rsidRPr="00A577DF">
        <w:rPr>
          <w:rFonts w:asciiTheme="majorHAnsi" w:hAnsiTheme="majorHAnsi"/>
          <w:i/>
          <w:iCs/>
          <w:sz w:val="22"/>
          <w:szCs w:val="22"/>
          <w:lang w:val="de-AT"/>
        </w:rPr>
        <w:t xml:space="preserve">setzt </w:t>
      </w:r>
      <w:r w:rsidR="001B575F" w:rsidRPr="00A577DF">
        <w:rPr>
          <w:rFonts w:asciiTheme="majorHAnsi" w:hAnsiTheme="majorHAnsi"/>
          <w:i/>
          <w:iCs/>
          <w:sz w:val="22"/>
          <w:szCs w:val="22"/>
          <w:lang w:val="de-AT"/>
        </w:rPr>
        <w:t xml:space="preserve">die </w:t>
      </w:r>
      <w:r w:rsidR="000B349B">
        <w:rPr>
          <w:rFonts w:asciiTheme="majorHAnsi" w:hAnsiTheme="majorHAnsi"/>
          <w:i/>
          <w:iCs/>
          <w:sz w:val="22"/>
          <w:szCs w:val="22"/>
          <w:lang w:val="de-AT"/>
        </w:rPr>
        <w:t>Renault Group</w:t>
      </w:r>
      <w:r w:rsidR="001B575F" w:rsidRPr="00A577DF">
        <w:rPr>
          <w:rFonts w:asciiTheme="majorHAnsi" w:hAnsiTheme="majorHAnsi"/>
          <w:i/>
          <w:iCs/>
          <w:sz w:val="22"/>
          <w:szCs w:val="22"/>
          <w:lang w:val="de-AT"/>
        </w:rPr>
        <w:t xml:space="preserve"> </w:t>
      </w:r>
      <w:r w:rsidR="00AC2C92" w:rsidRPr="00A577DF">
        <w:rPr>
          <w:rFonts w:asciiTheme="majorHAnsi" w:hAnsiTheme="majorHAnsi"/>
          <w:i/>
          <w:iCs/>
          <w:sz w:val="22"/>
          <w:szCs w:val="22"/>
          <w:lang w:val="de-AT"/>
        </w:rPr>
        <w:t xml:space="preserve">ihre Erholung fort </w:t>
      </w:r>
      <w:r w:rsidR="00653019" w:rsidRPr="00A577DF">
        <w:rPr>
          <w:rFonts w:asciiTheme="majorHAnsi" w:hAnsiTheme="majorHAnsi"/>
          <w:i/>
          <w:iCs/>
          <w:sz w:val="22"/>
          <w:szCs w:val="22"/>
          <w:lang w:val="de-AT"/>
        </w:rPr>
        <w:t xml:space="preserve">und beschleunigt die </w:t>
      </w:r>
      <w:r w:rsidR="00350CDF" w:rsidRPr="00A577DF">
        <w:rPr>
          <w:rFonts w:asciiTheme="majorHAnsi" w:hAnsiTheme="majorHAnsi"/>
          <w:i/>
          <w:iCs/>
          <w:sz w:val="22"/>
          <w:szCs w:val="22"/>
          <w:lang w:val="de-AT"/>
        </w:rPr>
        <w:t xml:space="preserve">Umsetzung </w:t>
      </w:r>
      <w:r w:rsidR="00F6750B" w:rsidRPr="00A577DF">
        <w:rPr>
          <w:rFonts w:asciiTheme="majorHAnsi" w:hAnsiTheme="majorHAnsi"/>
          <w:i/>
          <w:iCs/>
          <w:sz w:val="22"/>
          <w:szCs w:val="22"/>
          <w:lang w:val="de-AT"/>
        </w:rPr>
        <w:t xml:space="preserve">ihrer </w:t>
      </w:r>
      <w:r w:rsidR="00653019" w:rsidRPr="00A577DF">
        <w:rPr>
          <w:rFonts w:asciiTheme="majorHAnsi" w:hAnsiTheme="majorHAnsi"/>
          <w:i/>
          <w:iCs/>
          <w:sz w:val="22"/>
          <w:szCs w:val="22"/>
          <w:lang w:val="de-AT"/>
        </w:rPr>
        <w:t>Strategie</w:t>
      </w:r>
      <w:r w:rsidR="00F6750B" w:rsidRPr="00A577DF">
        <w:rPr>
          <w:rFonts w:asciiTheme="majorHAnsi" w:hAnsiTheme="majorHAnsi"/>
          <w:i/>
          <w:iCs/>
          <w:sz w:val="22"/>
          <w:szCs w:val="22"/>
          <w:lang w:val="de-AT"/>
        </w:rPr>
        <w:t xml:space="preserve">. </w:t>
      </w:r>
      <w:r w:rsidR="004D42C5" w:rsidRPr="00A577DF">
        <w:rPr>
          <w:rFonts w:asciiTheme="majorHAnsi" w:hAnsiTheme="majorHAnsi"/>
          <w:i/>
          <w:iCs/>
          <w:sz w:val="22"/>
          <w:szCs w:val="22"/>
          <w:lang w:val="de-AT"/>
        </w:rPr>
        <w:t xml:space="preserve">", </w:t>
      </w:r>
      <w:r w:rsidR="004D42C5" w:rsidRPr="00A577DF">
        <w:rPr>
          <w:sz w:val="22"/>
          <w:szCs w:val="22"/>
          <w:lang w:val="de-AT"/>
        </w:rPr>
        <w:t xml:space="preserve">sagte </w:t>
      </w:r>
      <w:r w:rsidR="00F15832" w:rsidRPr="00A577DF">
        <w:rPr>
          <w:b/>
          <w:bCs/>
          <w:sz w:val="22"/>
          <w:szCs w:val="22"/>
          <w:lang w:val="de-AT"/>
        </w:rPr>
        <w:t xml:space="preserve">Thierry </w:t>
      </w:r>
      <w:proofErr w:type="spellStart"/>
      <w:r w:rsidR="00F15832" w:rsidRPr="00A577DF">
        <w:rPr>
          <w:b/>
          <w:bCs/>
          <w:sz w:val="22"/>
          <w:szCs w:val="22"/>
          <w:lang w:val="de-AT"/>
        </w:rPr>
        <w:t>Piéton</w:t>
      </w:r>
      <w:proofErr w:type="spellEnd"/>
      <w:r w:rsidR="004D42C5" w:rsidRPr="00A577DF">
        <w:rPr>
          <w:b/>
          <w:bCs/>
          <w:sz w:val="22"/>
          <w:szCs w:val="22"/>
          <w:lang w:val="de-AT"/>
        </w:rPr>
        <w:t xml:space="preserve">, Finanzvorstand der </w:t>
      </w:r>
      <w:r w:rsidR="00F93FB6" w:rsidRPr="00A577DF">
        <w:rPr>
          <w:b/>
          <w:bCs/>
          <w:sz w:val="22"/>
          <w:szCs w:val="22"/>
          <w:lang w:val="de-AT"/>
        </w:rPr>
        <w:t>Renault-Gruppe.</w:t>
      </w:r>
    </w:p>
    <w:bookmarkEnd w:id="2"/>
    <w:p w14:paraId="7615B8E7" w14:textId="77777777" w:rsidR="00747ED4" w:rsidRPr="00A577DF" w:rsidRDefault="00747ED4" w:rsidP="004E6061">
      <w:pPr>
        <w:spacing w:before="0" w:line="240" w:lineRule="auto"/>
        <w:jc w:val="both"/>
        <w:rPr>
          <w:rFonts w:ascii="Renault Group" w:eastAsia="Renault Group" w:hAnsi="Renault Group" w:cs="Times New Roman"/>
          <w:sz w:val="22"/>
          <w:szCs w:val="22"/>
          <w:lang w:val="de-AT"/>
        </w:rPr>
      </w:pPr>
    </w:p>
    <w:p w14:paraId="3A6372C0" w14:textId="77777777" w:rsidR="00621272" w:rsidRPr="00A577DF" w:rsidRDefault="00621272" w:rsidP="004E6061">
      <w:pPr>
        <w:spacing w:before="0" w:line="240" w:lineRule="auto"/>
        <w:jc w:val="both"/>
        <w:rPr>
          <w:rFonts w:ascii="Renault Group" w:eastAsia="Renault Group" w:hAnsi="Renault Group" w:cs="Times New Roman"/>
          <w:sz w:val="22"/>
          <w:szCs w:val="22"/>
          <w:lang w:val="de-AT"/>
        </w:rPr>
      </w:pPr>
    </w:p>
    <w:p w14:paraId="1435FAE8" w14:textId="77777777" w:rsidR="00D26979" w:rsidRPr="00A577DF" w:rsidRDefault="008B6935">
      <w:pPr>
        <w:spacing w:before="0" w:line="240" w:lineRule="auto"/>
        <w:jc w:val="both"/>
        <w:rPr>
          <w:rFonts w:ascii="Renault Group" w:eastAsia="Renault Group" w:hAnsi="Renault Group" w:cs="Times New Roman"/>
          <w:sz w:val="22"/>
          <w:szCs w:val="22"/>
          <w:lang w:val="de-AT"/>
        </w:rPr>
      </w:pPr>
      <w:r w:rsidRPr="00A577DF">
        <w:rPr>
          <w:sz w:val="22"/>
          <w:szCs w:val="22"/>
          <w:lang w:val="de-AT"/>
        </w:rPr>
        <w:t>Boulogne-</w:t>
      </w:r>
      <w:proofErr w:type="spellStart"/>
      <w:r w:rsidRPr="00A577DF">
        <w:rPr>
          <w:sz w:val="22"/>
          <w:szCs w:val="22"/>
          <w:lang w:val="de-AT"/>
        </w:rPr>
        <w:t>Billancourt</w:t>
      </w:r>
      <w:proofErr w:type="spellEnd"/>
      <w:r w:rsidR="00400466" w:rsidRPr="00A577DF">
        <w:rPr>
          <w:sz w:val="22"/>
          <w:szCs w:val="22"/>
          <w:lang w:val="de-AT"/>
        </w:rPr>
        <w:t xml:space="preserve">, </w:t>
      </w:r>
      <w:r w:rsidR="00FF776B" w:rsidRPr="00A577DF">
        <w:rPr>
          <w:sz w:val="22"/>
          <w:szCs w:val="22"/>
          <w:lang w:val="de-AT"/>
        </w:rPr>
        <w:t xml:space="preserve">22. </w:t>
      </w:r>
      <w:r w:rsidR="00F15832" w:rsidRPr="00A577DF">
        <w:rPr>
          <w:sz w:val="22"/>
          <w:szCs w:val="22"/>
          <w:lang w:val="de-AT"/>
        </w:rPr>
        <w:t xml:space="preserve">April </w:t>
      </w:r>
      <w:r w:rsidRPr="00A577DF">
        <w:rPr>
          <w:sz w:val="22"/>
          <w:szCs w:val="22"/>
          <w:lang w:val="de-AT"/>
        </w:rPr>
        <w:t xml:space="preserve">2022 </w:t>
      </w:r>
    </w:p>
    <w:p w14:paraId="75E750DF" w14:textId="77777777" w:rsidR="007B10D7" w:rsidRPr="00A577DF" w:rsidRDefault="007B10D7" w:rsidP="004E6061">
      <w:pPr>
        <w:spacing w:before="0" w:line="240" w:lineRule="auto"/>
        <w:jc w:val="both"/>
        <w:rPr>
          <w:rFonts w:ascii="Renault Group" w:eastAsia="Renault Group" w:hAnsi="Renault Group" w:cs="Times New Roman"/>
          <w:sz w:val="22"/>
          <w:szCs w:val="22"/>
          <w:lang w:val="de-AT"/>
        </w:rPr>
      </w:pPr>
    </w:p>
    <w:p w14:paraId="46167CDD" w14:textId="77777777" w:rsidR="00D26979" w:rsidRPr="00A577DF" w:rsidRDefault="008B6935">
      <w:pPr>
        <w:spacing w:line="240" w:lineRule="auto"/>
        <w:ind w:right="652"/>
        <w:jc w:val="both"/>
        <w:rPr>
          <w:rFonts w:ascii="Renault Group" w:eastAsia="Renault Group" w:hAnsi="Renault Group" w:cs="Times New Roman"/>
          <w:b/>
          <w:bCs/>
          <w:sz w:val="22"/>
          <w:szCs w:val="22"/>
          <w:lang w:val="de-AT"/>
        </w:rPr>
      </w:pPr>
      <w:bookmarkStart w:id="3" w:name="_Hlk37082339"/>
      <w:r w:rsidRPr="00A577DF">
        <w:rPr>
          <w:b/>
          <w:bCs/>
          <w:sz w:val="22"/>
          <w:szCs w:val="22"/>
          <w:lang w:val="de-AT"/>
        </w:rPr>
        <w:t xml:space="preserve">GESCHÄFTSERGEBNISSE: </w:t>
      </w:r>
      <w:r w:rsidRPr="00362D86">
        <w:rPr>
          <w:b/>
          <w:bCs/>
          <w:sz w:val="22"/>
          <w:szCs w:val="22"/>
          <w:lang w:val="de-AT"/>
        </w:rPr>
        <w:t xml:space="preserve">HÖHEPUNKTE </w:t>
      </w:r>
      <w:r w:rsidRPr="00A577DF">
        <w:rPr>
          <w:b/>
          <w:bCs/>
          <w:sz w:val="22"/>
          <w:szCs w:val="22"/>
          <w:lang w:val="de-AT"/>
        </w:rPr>
        <w:t xml:space="preserve">DES ERSTEN QUARTALS </w:t>
      </w:r>
      <w:bookmarkEnd w:id="3"/>
    </w:p>
    <w:p w14:paraId="67C0FBE1" w14:textId="60449ED9" w:rsidR="00D26979" w:rsidRPr="00A577DF" w:rsidRDefault="008B6935">
      <w:pPr>
        <w:ind w:right="-2"/>
        <w:jc w:val="both"/>
        <w:rPr>
          <w:color w:val="000000" w:themeColor="text1"/>
          <w:sz w:val="22"/>
          <w:szCs w:val="22"/>
          <w:lang w:val="de-AT"/>
        </w:rPr>
      </w:pPr>
      <w:r w:rsidRPr="00A577DF">
        <w:rPr>
          <w:color w:val="000000" w:themeColor="text1"/>
          <w:sz w:val="22"/>
          <w:szCs w:val="22"/>
          <w:lang w:val="de-AT"/>
        </w:rPr>
        <w:t xml:space="preserve">Vor dem Hintergrund der Halbleiterkrise und des Ukraine-Konflikts verkaufte </w:t>
      </w:r>
      <w:r w:rsidRPr="00A577DF">
        <w:rPr>
          <w:b/>
          <w:color w:val="000000" w:themeColor="text1"/>
          <w:sz w:val="22"/>
          <w:szCs w:val="22"/>
          <w:lang w:val="de-AT"/>
        </w:rPr>
        <w:t>die Renault</w:t>
      </w:r>
      <w:r w:rsidR="00022650">
        <w:rPr>
          <w:b/>
          <w:color w:val="000000" w:themeColor="text1"/>
          <w:sz w:val="22"/>
          <w:szCs w:val="22"/>
          <w:lang w:val="de-AT"/>
        </w:rPr>
        <w:t xml:space="preserve"> Group</w:t>
      </w:r>
      <w:r w:rsidRPr="00A577DF">
        <w:rPr>
          <w:b/>
          <w:color w:val="000000" w:themeColor="text1"/>
          <w:sz w:val="22"/>
          <w:szCs w:val="22"/>
          <w:lang w:val="de-AT"/>
        </w:rPr>
        <w:t xml:space="preserve"> </w:t>
      </w:r>
      <w:r w:rsidRPr="00A577DF">
        <w:rPr>
          <w:color w:val="000000" w:themeColor="text1"/>
          <w:sz w:val="22"/>
          <w:szCs w:val="22"/>
          <w:lang w:val="de-AT"/>
        </w:rPr>
        <w:t xml:space="preserve">im ersten Quartal 2022 552.000 Fahrzeuge, was einem Rückgang von </w:t>
      </w:r>
      <w:r w:rsidR="002B5984" w:rsidRPr="00A577DF">
        <w:rPr>
          <w:color w:val="000000" w:themeColor="text1"/>
          <w:sz w:val="22"/>
          <w:szCs w:val="22"/>
          <w:lang w:val="de-AT"/>
        </w:rPr>
        <w:t>17</w:t>
      </w:r>
      <w:r w:rsidRPr="00A577DF">
        <w:rPr>
          <w:color w:val="000000" w:themeColor="text1"/>
          <w:sz w:val="22"/>
          <w:szCs w:val="22"/>
          <w:lang w:val="de-AT"/>
        </w:rPr>
        <w:t xml:space="preserve">,1 % gegenüber dem </w:t>
      </w:r>
      <w:r w:rsidR="00CA6FD3" w:rsidRPr="00A577DF">
        <w:rPr>
          <w:color w:val="000000" w:themeColor="text1"/>
          <w:sz w:val="22"/>
          <w:szCs w:val="22"/>
          <w:lang w:val="de-AT"/>
        </w:rPr>
        <w:t xml:space="preserve">ersten </w:t>
      </w:r>
      <w:r w:rsidRPr="00A577DF">
        <w:rPr>
          <w:color w:val="000000" w:themeColor="text1"/>
          <w:sz w:val="22"/>
          <w:szCs w:val="22"/>
          <w:lang w:val="de-AT"/>
        </w:rPr>
        <w:t>Quartal 2021 entspricht</w:t>
      </w:r>
      <w:r w:rsidR="00CA6FD3" w:rsidRPr="00A577DF">
        <w:rPr>
          <w:color w:val="000000" w:themeColor="text1"/>
          <w:sz w:val="22"/>
          <w:szCs w:val="22"/>
          <w:lang w:val="de-AT"/>
        </w:rPr>
        <w:t xml:space="preserve">. </w:t>
      </w:r>
    </w:p>
    <w:p w14:paraId="718BDF85" w14:textId="00E65E9B" w:rsidR="00D26979" w:rsidRPr="00A577DF" w:rsidRDefault="008B6935">
      <w:pPr>
        <w:ind w:right="-2"/>
        <w:jc w:val="both"/>
        <w:rPr>
          <w:color w:val="000000" w:themeColor="text1"/>
          <w:sz w:val="22"/>
          <w:szCs w:val="22"/>
          <w:lang w:val="de-AT"/>
        </w:rPr>
      </w:pPr>
      <w:r w:rsidRPr="00A577DF">
        <w:rPr>
          <w:b/>
          <w:bCs/>
          <w:color w:val="000000" w:themeColor="text1"/>
          <w:sz w:val="22"/>
          <w:szCs w:val="22"/>
          <w:lang w:val="de-AT"/>
        </w:rPr>
        <w:t xml:space="preserve">Die </w:t>
      </w:r>
      <w:r w:rsidR="000B349B">
        <w:rPr>
          <w:b/>
          <w:bCs/>
          <w:color w:val="000000" w:themeColor="text1"/>
          <w:sz w:val="22"/>
          <w:szCs w:val="22"/>
          <w:lang w:val="de-AT"/>
        </w:rPr>
        <w:t>Renault Group</w:t>
      </w:r>
      <w:r w:rsidRPr="00A577DF">
        <w:rPr>
          <w:b/>
          <w:bCs/>
          <w:color w:val="000000" w:themeColor="text1"/>
          <w:sz w:val="22"/>
          <w:szCs w:val="22"/>
          <w:lang w:val="de-AT"/>
        </w:rPr>
        <w:t xml:space="preserve"> </w:t>
      </w:r>
      <w:r w:rsidRPr="00A577DF">
        <w:rPr>
          <w:color w:val="000000" w:themeColor="text1"/>
          <w:sz w:val="22"/>
          <w:szCs w:val="22"/>
          <w:lang w:val="de-AT"/>
        </w:rPr>
        <w:t xml:space="preserve">setzt ihre </w:t>
      </w:r>
      <w:r w:rsidR="00CA6FD3" w:rsidRPr="00A577DF">
        <w:rPr>
          <w:color w:val="000000" w:themeColor="text1"/>
          <w:sz w:val="22"/>
          <w:szCs w:val="22"/>
          <w:lang w:val="de-AT"/>
        </w:rPr>
        <w:t xml:space="preserve">auf </w:t>
      </w:r>
      <w:r w:rsidRPr="00A577DF">
        <w:rPr>
          <w:color w:val="000000" w:themeColor="text1"/>
          <w:sz w:val="22"/>
          <w:szCs w:val="22"/>
          <w:lang w:val="de-AT"/>
        </w:rPr>
        <w:t xml:space="preserve">Wertschöpfung </w:t>
      </w:r>
      <w:r w:rsidR="00CA6FD3" w:rsidRPr="00A577DF">
        <w:rPr>
          <w:color w:val="000000" w:themeColor="text1"/>
          <w:sz w:val="22"/>
          <w:szCs w:val="22"/>
          <w:lang w:val="de-AT"/>
        </w:rPr>
        <w:t xml:space="preserve">ausgerichtete </w:t>
      </w:r>
      <w:r w:rsidRPr="00A577DF">
        <w:rPr>
          <w:color w:val="000000" w:themeColor="text1"/>
          <w:sz w:val="22"/>
          <w:szCs w:val="22"/>
          <w:lang w:val="de-AT"/>
        </w:rPr>
        <w:t xml:space="preserve">Vertriebspolitik fort, was zu einer Erhöhung des </w:t>
      </w:r>
      <w:proofErr w:type="spellStart"/>
      <w:r w:rsidR="00CA6FD3" w:rsidRPr="00A577DF">
        <w:rPr>
          <w:color w:val="000000" w:themeColor="text1"/>
          <w:sz w:val="22"/>
          <w:szCs w:val="22"/>
          <w:lang w:val="de-AT"/>
        </w:rPr>
        <w:t>Mixes</w:t>
      </w:r>
      <w:proofErr w:type="spellEnd"/>
      <w:r w:rsidR="00CA6FD3" w:rsidRPr="00A577DF">
        <w:rPr>
          <w:color w:val="000000" w:themeColor="text1"/>
          <w:sz w:val="22"/>
          <w:szCs w:val="22"/>
          <w:lang w:val="de-AT"/>
        </w:rPr>
        <w:t xml:space="preserve"> </w:t>
      </w:r>
      <w:r w:rsidR="003E3F13" w:rsidRPr="00A577DF">
        <w:rPr>
          <w:color w:val="000000" w:themeColor="text1"/>
          <w:sz w:val="22"/>
          <w:szCs w:val="22"/>
          <w:lang w:val="de-AT"/>
        </w:rPr>
        <w:t xml:space="preserve">in den </w:t>
      </w:r>
      <w:r w:rsidRPr="00A577DF">
        <w:rPr>
          <w:color w:val="000000" w:themeColor="text1"/>
          <w:sz w:val="22"/>
          <w:szCs w:val="22"/>
          <w:lang w:val="de-AT"/>
        </w:rPr>
        <w:t xml:space="preserve">profitabelsten Kanälen führt. In den fünf wichtigsten europäischen Ländern (Frankreich, Deutschland, Spanien, Italien, Vereinigtes Königreich) </w:t>
      </w:r>
      <w:r w:rsidR="003E73EB" w:rsidRPr="00A577DF">
        <w:rPr>
          <w:color w:val="000000" w:themeColor="text1"/>
          <w:sz w:val="22"/>
          <w:szCs w:val="22"/>
          <w:lang w:val="de-AT"/>
        </w:rPr>
        <w:t>liegt</w:t>
      </w:r>
      <w:r w:rsidRPr="00A577DF">
        <w:rPr>
          <w:color w:val="000000" w:themeColor="text1"/>
          <w:sz w:val="22"/>
          <w:szCs w:val="22"/>
          <w:lang w:val="de-AT"/>
        </w:rPr>
        <w:t xml:space="preserve"> der Anteil des</w:t>
      </w:r>
      <w:r w:rsidR="00F573A7">
        <w:rPr>
          <w:color w:val="000000" w:themeColor="text1"/>
          <w:sz w:val="22"/>
          <w:szCs w:val="22"/>
          <w:lang w:val="de-AT"/>
        </w:rPr>
        <w:t xml:space="preserve"> Verkaufs an Privatkunden </w:t>
      </w:r>
      <w:r w:rsidRPr="00A577DF">
        <w:rPr>
          <w:color w:val="000000" w:themeColor="text1"/>
          <w:sz w:val="22"/>
          <w:szCs w:val="22"/>
          <w:lang w:val="de-AT"/>
        </w:rPr>
        <w:t xml:space="preserve">bei 69 % gegenüber 54 % im </w:t>
      </w:r>
      <w:r w:rsidR="00F573A7">
        <w:rPr>
          <w:color w:val="000000" w:themeColor="text1"/>
          <w:sz w:val="22"/>
          <w:szCs w:val="22"/>
          <w:lang w:val="de-AT"/>
        </w:rPr>
        <w:t>ersten</w:t>
      </w:r>
      <w:r w:rsidRPr="00A577DF">
        <w:rPr>
          <w:color w:val="000000" w:themeColor="text1"/>
          <w:sz w:val="22"/>
          <w:szCs w:val="22"/>
          <w:lang w:val="de-AT"/>
        </w:rPr>
        <w:t xml:space="preserve"> Quartal 2021. </w:t>
      </w:r>
    </w:p>
    <w:p w14:paraId="1E0AEA07" w14:textId="5014877B" w:rsidR="00D26979" w:rsidRPr="00A577DF" w:rsidRDefault="008B6935">
      <w:pPr>
        <w:ind w:right="-2"/>
        <w:jc w:val="both"/>
        <w:rPr>
          <w:color w:val="000000" w:themeColor="text1"/>
          <w:sz w:val="22"/>
          <w:szCs w:val="22"/>
          <w:lang w:val="de-AT"/>
        </w:rPr>
      </w:pPr>
      <w:bookmarkStart w:id="4" w:name="_Hlk100821907"/>
      <w:r w:rsidRPr="00A577DF">
        <w:rPr>
          <w:color w:val="000000" w:themeColor="text1"/>
          <w:sz w:val="22"/>
          <w:szCs w:val="22"/>
          <w:lang w:val="de-AT"/>
        </w:rPr>
        <w:t xml:space="preserve">Die </w:t>
      </w:r>
      <w:r w:rsidRPr="00A577DF">
        <w:rPr>
          <w:b/>
          <w:bCs/>
          <w:color w:val="000000" w:themeColor="text1"/>
          <w:sz w:val="22"/>
          <w:szCs w:val="22"/>
          <w:lang w:val="de-AT"/>
        </w:rPr>
        <w:t xml:space="preserve">Marke Renault </w:t>
      </w:r>
      <w:r w:rsidRPr="00A577DF">
        <w:rPr>
          <w:color w:val="000000" w:themeColor="text1"/>
          <w:sz w:val="22"/>
          <w:szCs w:val="22"/>
          <w:lang w:val="de-AT"/>
        </w:rPr>
        <w:t xml:space="preserve">stärkt ihre </w:t>
      </w:r>
      <w:r w:rsidR="00BA159F" w:rsidRPr="00A577DF">
        <w:rPr>
          <w:color w:val="000000" w:themeColor="text1"/>
          <w:sz w:val="22"/>
          <w:szCs w:val="22"/>
          <w:lang w:val="de-AT"/>
        </w:rPr>
        <w:t xml:space="preserve">führende </w:t>
      </w:r>
      <w:r w:rsidRPr="00A577DF">
        <w:rPr>
          <w:color w:val="000000" w:themeColor="text1"/>
          <w:sz w:val="22"/>
          <w:szCs w:val="22"/>
          <w:lang w:val="de-AT"/>
        </w:rPr>
        <w:t xml:space="preserve">Position in Europa auf dem elektrifizierten Markt mit dem </w:t>
      </w:r>
      <w:r w:rsidR="003E73EB" w:rsidRPr="00A577DF">
        <w:rPr>
          <w:color w:val="000000" w:themeColor="text1"/>
          <w:sz w:val="22"/>
          <w:szCs w:val="22"/>
          <w:lang w:val="de-AT"/>
        </w:rPr>
        <w:t>E-</w:t>
      </w:r>
      <w:r w:rsidR="006A3498" w:rsidRPr="006A3498">
        <w:rPr>
          <w:sz w:val="22"/>
          <w:szCs w:val="22"/>
          <w:lang w:val="de-AT"/>
        </w:rPr>
        <w:t xml:space="preserve"> </w:t>
      </w:r>
      <w:r w:rsidR="005C37CF">
        <w:rPr>
          <w:sz w:val="22"/>
          <w:szCs w:val="22"/>
          <w:lang w:val="de-AT"/>
        </w:rPr>
        <w:t>Tech</w:t>
      </w:r>
      <w:r w:rsidR="003E73EB" w:rsidRPr="00A577DF">
        <w:rPr>
          <w:color w:val="000000" w:themeColor="text1"/>
          <w:sz w:val="22"/>
          <w:szCs w:val="22"/>
          <w:lang w:val="de-AT"/>
        </w:rPr>
        <w:t>-Angebot</w:t>
      </w:r>
      <w:r w:rsidRPr="00A577DF">
        <w:rPr>
          <w:color w:val="000000" w:themeColor="text1"/>
          <w:sz w:val="22"/>
          <w:szCs w:val="22"/>
          <w:lang w:val="de-AT"/>
        </w:rPr>
        <w:t xml:space="preserve">, das 36% der Pkw-Verkäufe </w:t>
      </w:r>
      <w:r w:rsidR="00281FE9" w:rsidRPr="00A577DF">
        <w:rPr>
          <w:color w:val="000000" w:themeColor="text1"/>
          <w:sz w:val="22"/>
          <w:szCs w:val="22"/>
          <w:lang w:val="de-AT"/>
        </w:rPr>
        <w:t>ausmacht</w:t>
      </w:r>
      <w:r w:rsidR="0007087D" w:rsidRPr="00A577DF">
        <w:rPr>
          <w:color w:val="000000" w:themeColor="text1"/>
          <w:sz w:val="22"/>
          <w:szCs w:val="22"/>
          <w:lang w:val="de-AT"/>
        </w:rPr>
        <w:t xml:space="preserve">, </w:t>
      </w:r>
      <w:r w:rsidRPr="00A577DF">
        <w:rPr>
          <w:color w:val="000000" w:themeColor="text1"/>
          <w:sz w:val="22"/>
          <w:szCs w:val="22"/>
          <w:lang w:val="de-AT"/>
        </w:rPr>
        <w:t xml:space="preserve">13 Punkte </w:t>
      </w:r>
      <w:r w:rsidR="003E73EB" w:rsidRPr="00A577DF">
        <w:rPr>
          <w:color w:val="000000" w:themeColor="text1"/>
          <w:sz w:val="22"/>
          <w:szCs w:val="22"/>
          <w:lang w:val="de-AT"/>
        </w:rPr>
        <w:t xml:space="preserve">mehr </w:t>
      </w:r>
      <w:r w:rsidR="0093018C" w:rsidRPr="00A577DF">
        <w:rPr>
          <w:color w:val="000000" w:themeColor="text1"/>
          <w:sz w:val="22"/>
          <w:szCs w:val="22"/>
          <w:lang w:val="de-AT"/>
        </w:rPr>
        <w:t xml:space="preserve">als </w:t>
      </w:r>
      <w:r w:rsidR="009C38A2" w:rsidRPr="00A577DF">
        <w:rPr>
          <w:color w:val="000000" w:themeColor="text1"/>
          <w:sz w:val="22"/>
          <w:szCs w:val="22"/>
          <w:lang w:val="de-AT"/>
        </w:rPr>
        <w:t xml:space="preserve">im </w:t>
      </w:r>
      <w:r w:rsidR="003F59B0">
        <w:rPr>
          <w:color w:val="000000" w:themeColor="text1"/>
          <w:sz w:val="22"/>
          <w:szCs w:val="22"/>
          <w:lang w:val="de-AT"/>
        </w:rPr>
        <w:t xml:space="preserve">ersten </w:t>
      </w:r>
      <w:r w:rsidR="009C38A2" w:rsidRPr="00A577DF">
        <w:rPr>
          <w:color w:val="000000" w:themeColor="text1"/>
          <w:sz w:val="22"/>
          <w:szCs w:val="22"/>
          <w:lang w:val="de-AT"/>
        </w:rPr>
        <w:t xml:space="preserve">Quartal </w:t>
      </w:r>
      <w:r w:rsidRPr="00A577DF">
        <w:rPr>
          <w:color w:val="000000" w:themeColor="text1"/>
          <w:sz w:val="22"/>
          <w:szCs w:val="22"/>
          <w:lang w:val="de-AT"/>
        </w:rPr>
        <w:t>2021</w:t>
      </w:r>
      <w:r w:rsidR="003918EE" w:rsidRPr="00A577DF">
        <w:rPr>
          <w:color w:val="000000" w:themeColor="text1"/>
          <w:sz w:val="22"/>
          <w:szCs w:val="22"/>
          <w:lang w:val="de-AT"/>
        </w:rPr>
        <w:t xml:space="preserve">, </w:t>
      </w:r>
      <w:r w:rsidRPr="00A577DF">
        <w:rPr>
          <w:color w:val="000000" w:themeColor="text1"/>
          <w:sz w:val="22"/>
          <w:szCs w:val="22"/>
          <w:lang w:val="de-AT"/>
        </w:rPr>
        <w:t xml:space="preserve">in </w:t>
      </w:r>
      <w:r w:rsidR="00215B26" w:rsidRPr="00A577DF">
        <w:rPr>
          <w:color w:val="000000" w:themeColor="text1"/>
          <w:sz w:val="22"/>
          <w:szCs w:val="22"/>
          <w:lang w:val="de-AT"/>
        </w:rPr>
        <w:t xml:space="preserve">einem elektrifizierten Markt von </w:t>
      </w:r>
      <w:r w:rsidRPr="00A577DF">
        <w:rPr>
          <w:color w:val="000000" w:themeColor="text1"/>
          <w:sz w:val="22"/>
          <w:szCs w:val="22"/>
          <w:lang w:val="de-AT"/>
        </w:rPr>
        <w:t xml:space="preserve">29% (+8 </w:t>
      </w:r>
      <w:proofErr w:type="spellStart"/>
      <w:r w:rsidRPr="00A577DF">
        <w:rPr>
          <w:color w:val="000000" w:themeColor="text1"/>
          <w:sz w:val="22"/>
          <w:szCs w:val="22"/>
          <w:lang w:val="de-AT"/>
        </w:rPr>
        <w:t>Pkte</w:t>
      </w:r>
      <w:proofErr w:type="spellEnd"/>
      <w:r w:rsidRPr="00A577DF">
        <w:rPr>
          <w:color w:val="000000" w:themeColor="text1"/>
          <w:sz w:val="22"/>
          <w:szCs w:val="22"/>
          <w:lang w:val="de-AT"/>
        </w:rPr>
        <w:t xml:space="preserve">. gegenüber 2021). Der </w:t>
      </w:r>
      <w:r w:rsidR="00D33992" w:rsidRPr="00A577DF">
        <w:rPr>
          <w:color w:val="000000" w:themeColor="text1"/>
          <w:sz w:val="22"/>
          <w:szCs w:val="22"/>
          <w:lang w:val="de-AT"/>
        </w:rPr>
        <w:t xml:space="preserve">Anteil der </w:t>
      </w:r>
      <w:r w:rsidRPr="00A577DF">
        <w:rPr>
          <w:color w:val="000000" w:themeColor="text1"/>
          <w:sz w:val="22"/>
          <w:szCs w:val="22"/>
          <w:lang w:val="de-AT"/>
        </w:rPr>
        <w:t xml:space="preserve">Hybridfahrzeuge (HEV und PHEV), bestehend aus </w:t>
      </w:r>
      <w:r w:rsidR="00800CBC" w:rsidRPr="00A577DF">
        <w:rPr>
          <w:color w:val="000000" w:themeColor="text1"/>
          <w:sz w:val="22"/>
          <w:szCs w:val="22"/>
          <w:lang w:val="de-AT"/>
        </w:rPr>
        <w:t xml:space="preserve">Renault </w:t>
      </w:r>
      <w:r w:rsidRPr="00A577DF">
        <w:rPr>
          <w:color w:val="000000" w:themeColor="text1"/>
          <w:sz w:val="22"/>
          <w:szCs w:val="22"/>
          <w:lang w:val="de-AT"/>
        </w:rPr>
        <w:t xml:space="preserve">Clio, </w:t>
      </w:r>
      <w:r w:rsidR="00800CBC" w:rsidRPr="00A577DF">
        <w:rPr>
          <w:color w:val="000000" w:themeColor="text1"/>
          <w:sz w:val="22"/>
          <w:szCs w:val="22"/>
          <w:lang w:val="de-AT"/>
        </w:rPr>
        <w:t xml:space="preserve">Renault </w:t>
      </w:r>
      <w:r w:rsidRPr="00A577DF">
        <w:rPr>
          <w:color w:val="000000" w:themeColor="text1"/>
          <w:sz w:val="22"/>
          <w:szCs w:val="22"/>
          <w:lang w:val="de-AT"/>
        </w:rPr>
        <w:t xml:space="preserve">Captur, </w:t>
      </w:r>
      <w:r w:rsidR="007565C3" w:rsidRPr="00A577DF">
        <w:rPr>
          <w:color w:val="000000" w:themeColor="text1"/>
          <w:sz w:val="22"/>
          <w:szCs w:val="22"/>
          <w:lang w:val="de-AT"/>
        </w:rPr>
        <w:t xml:space="preserve">Renault </w:t>
      </w:r>
      <w:r w:rsidRPr="00A577DF">
        <w:rPr>
          <w:color w:val="000000" w:themeColor="text1"/>
          <w:sz w:val="22"/>
          <w:szCs w:val="22"/>
          <w:lang w:val="de-AT"/>
        </w:rPr>
        <w:t xml:space="preserve">Arkana und </w:t>
      </w:r>
      <w:r w:rsidR="007565C3" w:rsidRPr="00A577DF">
        <w:rPr>
          <w:color w:val="000000" w:themeColor="text1"/>
          <w:sz w:val="22"/>
          <w:szCs w:val="22"/>
          <w:lang w:val="de-AT"/>
        </w:rPr>
        <w:t xml:space="preserve">Renault </w:t>
      </w:r>
      <w:r w:rsidRPr="00A577DF">
        <w:rPr>
          <w:color w:val="000000" w:themeColor="text1"/>
          <w:sz w:val="22"/>
          <w:szCs w:val="22"/>
          <w:lang w:val="de-AT"/>
        </w:rPr>
        <w:t>Megane</w:t>
      </w:r>
      <w:r w:rsidR="00657FEF" w:rsidRPr="00A577DF">
        <w:rPr>
          <w:color w:val="000000" w:themeColor="text1"/>
          <w:sz w:val="22"/>
          <w:szCs w:val="22"/>
          <w:lang w:val="de-AT"/>
        </w:rPr>
        <w:t xml:space="preserve">, </w:t>
      </w:r>
      <w:r w:rsidR="005B404E" w:rsidRPr="00A577DF">
        <w:rPr>
          <w:color w:val="000000" w:themeColor="text1"/>
          <w:sz w:val="22"/>
          <w:szCs w:val="22"/>
          <w:lang w:val="de-AT"/>
        </w:rPr>
        <w:t xml:space="preserve">steigt im Vergleich </w:t>
      </w:r>
      <w:r w:rsidR="001D5B59" w:rsidRPr="00A577DF">
        <w:rPr>
          <w:color w:val="000000" w:themeColor="text1"/>
          <w:sz w:val="22"/>
          <w:szCs w:val="22"/>
          <w:lang w:val="de-AT"/>
        </w:rPr>
        <w:t xml:space="preserve">zum </w:t>
      </w:r>
      <w:r w:rsidR="003F59B0">
        <w:rPr>
          <w:color w:val="000000" w:themeColor="text1"/>
          <w:sz w:val="22"/>
          <w:szCs w:val="22"/>
          <w:lang w:val="de-AT"/>
        </w:rPr>
        <w:t>ersten</w:t>
      </w:r>
      <w:r w:rsidR="001D5B59" w:rsidRPr="00A577DF">
        <w:rPr>
          <w:color w:val="000000" w:themeColor="text1"/>
          <w:sz w:val="22"/>
          <w:szCs w:val="22"/>
          <w:lang w:val="de-AT"/>
        </w:rPr>
        <w:t xml:space="preserve"> Quartal </w:t>
      </w:r>
      <w:r w:rsidRPr="00A577DF">
        <w:rPr>
          <w:color w:val="000000" w:themeColor="text1"/>
          <w:sz w:val="22"/>
          <w:szCs w:val="22"/>
          <w:lang w:val="de-AT"/>
        </w:rPr>
        <w:t>2021</w:t>
      </w:r>
      <w:bookmarkEnd w:id="4"/>
      <w:r w:rsidRPr="00A577DF">
        <w:rPr>
          <w:color w:val="000000" w:themeColor="text1"/>
          <w:sz w:val="22"/>
          <w:szCs w:val="22"/>
          <w:lang w:val="de-AT"/>
        </w:rPr>
        <w:t xml:space="preserve"> um 40%</w:t>
      </w:r>
      <w:r w:rsidR="00C80BAF" w:rsidRPr="00A577DF">
        <w:rPr>
          <w:color w:val="000000" w:themeColor="text1"/>
          <w:sz w:val="22"/>
          <w:szCs w:val="22"/>
          <w:lang w:val="de-AT"/>
        </w:rPr>
        <w:t xml:space="preserve">. </w:t>
      </w:r>
      <w:r w:rsidR="00F6750B" w:rsidRPr="00A577DF">
        <w:rPr>
          <w:color w:val="000000" w:themeColor="text1"/>
          <w:sz w:val="22"/>
          <w:szCs w:val="22"/>
          <w:lang w:val="de-AT"/>
        </w:rPr>
        <w:t>Damit bestätigt Renault seine Position als Referenzunternehmen im Bereich der Elektro- und Hybridmobilität.</w:t>
      </w:r>
    </w:p>
    <w:p w14:paraId="23C0D9FF" w14:textId="7190B1E0" w:rsidR="00D26979" w:rsidRPr="00A577DF" w:rsidRDefault="008B6935">
      <w:pPr>
        <w:ind w:right="-2"/>
        <w:jc w:val="both"/>
        <w:rPr>
          <w:color w:val="000000" w:themeColor="text1"/>
          <w:sz w:val="22"/>
          <w:szCs w:val="22"/>
          <w:lang w:val="de-AT"/>
        </w:rPr>
      </w:pPr>
      <w:r w:rsidRPr="00A577DF">
        <w:rPr>
          <w:color w:val="000000" w:themeColor="text1"/>
          <w:sz w:val="22"/>
          <w:szCs w:val="22"/>
          <w:lang w:val="de-AT"/>
        </w:rPr>
        <w:t xml:space="preserve">Die Erneuerung </w:t>
      </w:r>
      <w:r w:rsidRPr="00A577DF">
        <w:rPr>
          <w:bCs/>
          <w:color w:val="000000" w:themeColor="text1"/>
          <w:sz w:val="22"/>
          <w:szCs w:val="22"/>
          <w:lang w:val="de-AT"/>
        </w:rPr>
        <w:t xml:space="preserve">der </w:t>
      </w:r>
      <w:r w:rsidR="00F52729" w:rsidRPr="00A577DF">
        <w:rPr>
          <w:color w:val="000000" w:themeColor="text1"/>
          <w:sz w:val="22"/>
          <w:szCs w:val="22"/>
          <w:lang w:val="de-AT"/>
        </w:rPr>
        <w:t xml:space="preserve">Dacia-Produktpalette </w:t>
      </w:r>
      <w:r w:rsidRPr="00A577DF">
        <w:rPr>
          <w:color w:val="000000" w:themeColor="text1"/>
          <w:sz w:val="22"/>
          <w:szCs w:val="22"/>
          <w:lang w:val="de-AT"/>
        </w:rPr>
        <w:t>ist ein Erfolg</w:t>
      </w:r>
      <w:r w:rsidR="00162643" w:rsidRPr="00A577DF">
        <w:rPr>
          <w:color w:val="000000" w:themeColor="text1"/>
          <w:sz w:val="22"/>
          <w:szCs w:val="22"/>
          <w:lang w:val="de-AT"/>
        </w:rPr>
        <w:t xml:space="preserve">, </w:t>
      </w:r>
      <w:r w:rsidRPr="00A577DF">
        <w:rPr>
          <w:color w:val="000000" w:themeColor="text1"/>
          <w:sz w:val="22"/>
          <w:szCs w:val="22"/>
          <w:lang w:val="de-AT"/>
        </w:rPr>
        <w:t>vor allem dank des neuen Sandero</w:t>
      </w:r>
      <w:r w:rsidR="00491326" w:rsidRPr="00A577DF">
        <w:rPr>
          <w:color w:val="000000" w:themeColor="text1"/>
          <w:sz w:val="22"/>
          <w:szCs w:val="22"/>
          <w:lang w:val="de-AT"/>
        </w:rPr>
        <w:t xml:space="preserve">, </w:t>
      </w:r>
      <w:r w:rsidRPr="00A577DF">
        <w:rPr>
          <w:color w:val="000000" w:themeColor="text1"/>
          <w:sz w:val="22"/>
          <w:szCs w:val="22"/>
          <w:lang w:val="de-AT"/>
        </w:rPr>
        <w:t xml:space="preserve">der nach wie vor das meistverkaufte Fahrzeug </w:t>
      </w:r>
      <w:r w:rsidR="003F59B0">
        <w:rPr>
          <w:color w:val="000000" w:themeColor="text1"/>
          <w:sz w:val="22"/>
          <w:szCs w:val="22"/>
          <w:lang w:val="de-AT"/>
        </w:rPr>
        <w:t>an</w:t>
      </w:r>
      <w:r w:rsidRPr="00A577DF">
        <w:rPr>
          <w:color w:val="000000" w:themeColor="text1"/>
          <w:sz w:val="22"/>
          <w:szCs w:val="22"/>
          <w:lang w:val="de-AT"/>
        </w:rPr>
        <w:t xml:space="preserve"> Privatkunden in Europa ist</w:t>
      </w:r>
      <w:r w:rsidR="0024241E" w:rsidRPr="00A577DF">
        <w:rPr>
          <w:color w:val="000000" w:themeColor="text1"/>
          <w:sz w:val="22"/>
          <w:szCs w:val="22"/>
          <w:lang w:val="de-AT"/>
        </w:rPr>
        <w:t xml:space="preserve">, und </w:t>
      </w:r>
      <w:r w:rsidR="003C52AC" w:rsidRPr="00A577DF">
        <w:rPr>
          <w:color w:val="000000" w:themeColor="text1"/>
          <w:sz w:val="22"/>
          <w:szCs w:val="22"/>
          <w:lang w:val="de-AT"/>
        </w:rPr>
        <w:t xml:space="preserve">des </w:t>
      </w:r>
      <w:r w:rsidR="0024241E" w:rsidRPr="00A577DF">
        <w:rPr>
          <w:color w:val="000000" w:themeColor="text1"/>
          <w:sz w:val="22"/>
          <w:szCs w:val="22"/>
          <w:lang w:val="de-AT"/>
        </w:rPr>
        <w:t>Duster</w:t>
      </w:r>
      <w:r w:rsidR="0075760F" w:rsidRPr="00A577DF">
        <w:rPr>
          <w:color w:val="000000" w:themeColor="text1"/>
          <w:sz w:val="22"/>
          <w:szCs w:val="22"/>
          <w:lang w:val="de-AT"/>
        </w:rPr>
        <w:t xml:space="preserve">, der </w:t>
      </w:r>
      <w:r w:rsidR="0024241E" w:rsidRPr="00A577DF">
        <w:rPr>
          <w:color w:val="000000" w:themeColor="text1"/>
          <w:sz w:val="22"/>
          <w:szCs w:val="22"/>
          <w:lang w:val="de-AT"/>
        </w:rPr>
        <w:t xml:space="preserve">seit seiner Markteinführung </w:t>
      </w:r>
      <w:r w:rsidR="003F59B0">
        <w:rPr>
          <w:color w:val="000000" w:themeColor="text1"/>
          <w:sz w:val="22"/>
          <w:szCs w:val="22"/>
          <w:lang w:val="de-AT"/>
        </w:rPr>
        <w:t>2</w:t>
      </w:r>
      <w:r w:rsidR="0024241E" w:rsidRPr="00A577DF">
        <w:rPr>
          <w:color w:val="000000" w:themeColor="text1"/>
          <w:sz w:val="22"/>
          <w:szCs w:val="22"/>
          <w:lang w:val="de-AT"/>
        </w:rPr>
        <w:t xml:space="preserve"> Millionen Mal verkauft wurde. </w:t>
      </w:r>
      <w:r w:rsidR="00F6750B" w:rsidRPr="00A577DF">
        <w:rPr>
          <w:color w:val="000000" w:themeColor="text1"/>
          <w:sz w:val="22"/>
          <w:szCs w:val="22"/>
          <w:lang w:val="de-AT"/>
        </w:rPr>
        <w:t xml:space="preserve">Der </w:t>
      </w:r>
      <w:r w:rsidRPr="00A577DF">
        <w:rPr>
          <w:color w:val="000000" w:themeColor="text1"/>
          <w:sz w:val="22"/>
          <w:szCs w:val="22"/>
          <w:lang w:val="de-AT"/>
        </w:rPr>
        <w:t>zu 100 % elektrisch</w:t>
      </w:r>
      <w:r w:rsidR="000645AA">
        <w:rPr>
          <w:color w:val="000000" w:themeColor="text1"/>
          <w:sz w:val="22"/>
          <w:szCs w:val="22"/>
          <w:lang w:val="de-AT"/>
        </w:rPr>
        <w:t>e</w:t>
      </w:r>
      <w:r w:rsidRPr="00A577DF">
        <w:rPr>
          <w:color w:val="000000" w:themeColor="text1"/>
          <w:sz w:val="22"/>
          <w:szCs w:val="22"/>
          <w:lang w:val="de-AT"/>
        </w:rPr>
        <w:t xml:space="preserve"> Dacia Spring wurde in </w:t>
      </w:r>
      <w:r w:rsidRPr="00A577DF">
        <w:rPr>
          <w:color w:val="000000" w:themeColor="text1"/>
          <w:sz w:val="22"/>
          <w:szCs w:val="22"/>
          <w:lang w:val="de-AT"/>
        </w:rPr>
        <w:lastRenderedPageBreak/>
        <w:t xml:space="preserve">Europa im </w:t>
      </w:r>
      <w:r w:rsidR="000645AA">
        <w:rPr>
          <w:color w:val="000000" w:themeColor="text1"/>
          <w:sz w:val="22"/>
          <w:szCs w:val="22"/>
          <w:lang w:val="de-AT"/>
        </w:rPr>
        <w:t xml:space="preserve">ersten </w:t>
      </w:r>
      <w:r w:rsidR="00FF776B" w:rsidRPr="00A577DF">
        <w:rPr>
          <w:color w:val="000000" w:themeColor="text1"/>
          <w:sz w:val="22"/>
          <w:szCs w:val="22"/>
          <w:lang w:val="de-AT"/>
        </w:rPr>
        <w:t>Quartal</w:t>
      </w:r>
      <w:r w:rsidRPr="00A577DF">
        <w:rPr>
          <w:color w:val="000000" w:themeColor="text1"/>
          <w:sz w:val="22"/>
          <w:szCs w:val="22"/>
          <w:lang w:val="de-AT"/>
        </w:rPr>
        <w:t xml:space="preserve"> mehr als </w:t>
      </w:r>
      <w:proofErr w:type="gramStart"/>
      <w:r w:rsidRPr="00A577DF">
        <w:rPr>
          <w:color w:val="000000" w:themeColor="text1"/>
          <w:sz w:val="22"/>
          <w:szCs w:val="22"/>
          <w:lang w:val="de-AT"/>
        </w:rPr>
        <w:t>9.000</w:t>
      </w:r>
      <w:r w:rsidR="00FC54DC">
        <w:rPr>
          <w:color w:val="000000" w:themeColor="text1"/>
          <w:sz w:val="22"/>
          <w:szCs w:val="22"/>
          <w:lang w:val="de-AT"/>
        </w:rPr>
        <w:t xml:space="preserve"> </w:t>
      </w:r>
      <w:r w:rsidRPr="00A577DF">
        <w:rPr>
          <w:color w:val="000000" w:themeColor="text1"/>
          <w:sz w:val="22"/>
          <w:szCs w:val="22"/>
          <w:lang w:val="de-AT"/>
        </w:rPr>
        <w:t>Mal</w:t>
      </w:r>
      <w:proofErr w:type="gramEnd"/>
      <w:r w:rsidRPr="00A577DF">
        <w:rPr>
          <w:color w:val="000000" w:themeColor="text1"/>
          <w:sz w:val="22"/>
          <w:szCs w:val="22"/>
          <w:lang w:val="de-AT"/>
        </w:rPr>
        <w:t xml:space="preserve"> verkauft und ist das </w:t>
      </w:r>
      <w:r w:rsidR="000645AA">
        <w:rPr>
          <w:color w:val="000000" w:themeColor="text1"/>
          <w:sz w:val="22"/>
          <w:szCs w:val="22"/>
          <w:lang w:val="de-AT"/>
        </w:rPr>
        <w:t>zweit</w:t>
      </w:r>
      <w:r w:rsidRPr="00A577DF">
        <w:rPr>
          <w:color w:val="000000" w:themeColor="text1"/>
          <w:sz w:val="22"/>
          <w:szCs w:val="22"/>
          <w:lang w:val="de-AT"/>
        </w:rPr>
        <w:t xml:space="preserve">meistverkaufte Elektrofahrzeug in Frankreich. </w:t>
      </w:r>
    </w:p>
    <w:p w14:paraId="3877E21B" w14:textId="39C4DB10" w:rsidR="00D26979" w:rsidRPr="00A577DF" w:rsidRDefault="00F46FB5">
      <w:pPr>
        <w:ind w:right="-2"/>
        <w:jc w:val="both"/>
        <w:rPr>
          <w:color w:val="000000" w:themeColor="text1"/>
          <w:sz w:val="22"/>
          <w:szCs w:val="22"/>
          <w:lang w:val="de-AT"/>
        </w:rPr>
      </w:pPr>
      <w:r w:rsidRPr="00A577DF">
        <w:rPr>
          <w:color w:val="000000" w:themeColor="text1"/>
          <w:sz w:val="22"/>
          <w:szCs w:val="22"/>
          <w:lang w:val="de-AT"/>
        </w:rPr>
        <w:t xml:space="preserve">Die Aktivität </w:t>
      </w:r>
      <w:proofErr w:type="gramStart"/>
      <w:r w:rsidR="008B6935" w:rsidRPr="00A577DF">
        <w:rPr>
          <w:color w:val="000000" w:themeColor="text1"/>
          <w:sz w:val="22"/>
          <w:szCs w:val="22"/>
          <w:lang w:val="de-AT"/>
        </w:rPr>
        <w:t xml:space="preserve">von </w:t>
      </w:r>
      <w:r w:rsidR="008B6935" w:rsidRPr="00A577DF">
        <w:rPr>
          <w:b/>
          <w:bCs/>
          <w:color w:val="000000" w:themeColor="text1"/>
          <w:sz w:val="22"/>
          <w:szCs w:val="22"/>
          <w:lang w:val="de-AT"/>
        </w:rPr>
        <w:t>Alpine</w:t>
      </w:r>
      <w:proofErr w:type="gramEnd"/>
      <w:r w:rsidR="008B6935" w:rsidRPr="00A577DF">
        <w:rPr>
          <w:b/>
          <w:bCs/>
          <w:color w:val="000000" w:themeColor="text1"/>
          <w:sz w:val="22"/>
          <w:szCs w:val="22"/>
          <w:lang w:val="de-AT"/>
        </w:rPr>
        <w:t xml:space="preserve"> </w:t>
      </w:r>
      <w:r w:rsidR="008B6935" w:rsidRPr="00DC26FA">
        <w:rPr>
          <w:color w:val="000000" w:themeColor="text1"/>
          <w:sz w:val="22"/>
          <w:szCs w:val="22"/>
          <w:lang w:val="de-AT"/>
        </w:rPr>
        <w:t>w</w:t>
      </w:r>
      <w:r w:rsidR="004240E5" w:rsidRPr="00DC26FA">
        <w:rPr>
          <w:color w:val="000000" w:themeColor="text1"/>
          <w:sz w:val="22"/>
          <w:szCs w:val="22"/>
          <w:lang w:val="de-AT"/>
        </w:rPr>
        <w:t>ird</w:t>
      </w:r>
      <w:r w:rsidR="008B6935" w:rsidRPr="00A577DF">
        <w:rPr>
          <w:b/>
          <w:bCs/>
          <w:color w:val="000000" w:themeColor="text1"/>
          <w:sz w:val="22"/>
          <w:szCs w:val="22"/>
          <w:lang w:val="de-AT"/>
        </w:rPr>
        <w:t xml:space="preserve"> </w:t>
      </w:r>
      <w:r w:rsidR="00AE61EC" w:rsidRPr="00A577DF">
        <w:rPr>
          <w:color w:val="000000" w:themeColor="text1"/>
          <w:sz w:val="22"/>
          <w:szCs w:val="22"/>
          <w:lang w:val="de-AT"/>
        </w:rPr>
        <w:t xml:space="preserve">seit </w:t>
      </w:r>
      <w:r w:rsidR="008B6935" w:rsidRPr="00A577DF">
        <w:rPr>
          <w:color w:val="000000" w:themeColor="text1"/>
          <w:sz w:val="22"/>
          <w:szCs w:val="22"/>
          <w:lang w:val="de-AT"/>
        </w:rPr>
        <w:t xml:space="preserve">Anfang des Jahres durch die Einführung </w:t>
      </w:r>
      <w:r w:rsidR="00425EFF" w:rsidRPr="00A577DF">
        <w:rPr>
          <w:color w:val="000000" w:themeColor="text1"/>
          <w:sz w:val="22"/>
          <w:szCs w:val="22"/>
          <w:lang w:val="de-AT"/>
        </w:rPr>
        <w:t xml:space="preserve">der neuen Modellreihe der </w:t>
      </w:r>
      <w:r w:rsidR="000645AA">
        <w:rPr>
          <w:color w:val="000000" w:themeColor="text1"/>
          <w:sz w:val="22"/>
          <w:szCs w:val="22"/>
          <w:lang w:val="de-AT"/>
        </w:rPr>
        <w:t xml:space="preserve">Alpine </w:t>
      </w:r>
      <w:r w:rsidR="008B6935" w:rsidRPr="00A577DF">
        <w:rPr>
          <w:color w:val="000000" w:themeColor="text1"/>
          <w:sz w:val="22"/>
          <w:szCs w:val="22"/>
          <w:lang w:val="de-AT"/>
        </w:rPr>
        <w:t xml:space="preserve">A110 vorangetrieben und </w:t>
      </w:r>
      <w:r w:rsidR="007E2EBA" w:rsidRPr="00A577DF">
        <w:rPr>
          <w:color w:val="000000" w:themeColor="text1"/>
          <w:sz w:val="22"/>
          <w:szCs w:val="22"/>
          <w:lang w:val="de-AT"/>
        </w:rPr>
        <w:t xml:space="preserve">verzeichnete in diesem Quartal einen </w:t>
      </w:r>
      <w:r w:rsidR="003455C0" w:rsidRPr="00A577DF">
        <w:rPr>
          <w:color w:val="000000" w:themeColor="text1"/>
          <w:sz w:val="22"/>
          <w:szCs w:val="22"/>
          <w:lang w:val="de-AT"/>
        </w:rPr>
        <w:t>Verkaufsanstieg von 67 %</w:t>
      </w:r>
      <w:r w:rsidR="008B6935" w:rsidRPr="00A577DF">
        <w:rPr>
          <w:color w:val="000000" w:themeColor="text1"/>
          <w:sz w:val="22"/>
          <w:szCs w:val="22"/>
          <w:lang w:val="de-AT"/>
        </w:rPr>
        <w:t>.</w:t>
      </w:r>
    </w:p>
    <w:p w14:paraId="6A29F0CF" w14:textId="4F88B79A" w:rsidR="00D26979" w:rsidRPr="00A577DF" w:rsidRDefault="008B6935">
      <w:pPr>
        <w:ind w:right="-2"/>
        <w:jc w:val="both"/>
        <w:rPr>
          <w:color w:val="000000" w:themeColor="text1"/>
          <w:sz w:val="22"/>
          <w:szCs w:val="22"/>
          <w:lang w:val="de-AT"/>
        </w:rPr>
      </w:pPr>
      <w:r w:rsidRPr="00A577DF">
        <w:rPr>
          <w:color w:val="000000" w:themeColor="text1"/>
          <w:sz w:val="22"/>
          <w:szCs w:val="22"/>
          <w:lang w:val="de-AT"/>
        </w:rPr>
        <w:t xml:space="preserve">Der Auftragsbestand </w:t>
      </w:r>
      <w:r w:rsidR="00465760" w:rsidRPr="00A577DF">
        <w:rPr>
          <w:color w:val="000000" w:themeColor="text1"/>
          <w:sz w:val="22"/>
          <w:szCs w:val="22"/>
          <w:lang w:val="de-AT"/>
        </w:rPr>
        <w:t xml:space="preserve">der Gruppe </w:t>
      </w:r>
      <w:r w:rsidRPr="00A577DF">
        <w:rPr>
          <w:color w:val="000000" w:themeColor="text1"/>
          <w:sz w:val="22"/>
          <w:szCs w:val="22"/>
          <w:lang w:val="de-AT"/>
        </w:rPr>
        <w:t>in Europa</w:t>
      </w:r>
      <w:r w:rsidR="009E22CE" w:rsidRPr="00A577DF">
        <w:rPr>
          <w:color w:val="000000" w:themeColor="text1"/>
          <w:sz w:val="22"/>
          <w:szCs w:val="22"/>
          <w:lang w:val="de-AT"/>
        </w:rPr>
        <w:t xml:space="preserve">, der bereits </w:t>
      </w:r>
      <w:r w:rsidR="00BC273E" w:rsidRPr="00A577DF">
        <w:rPr>
          <w:color w:val="000000" w:themeColor="text1"/>
          <w:sz w:val="22"/>
          <w:szCs w:val="22"/>
          <w:lang w:val="de-AT"/>
        </w:rPr>
        <w:t xml:space="preserve">Ende 2021 </w:t>
      </w:r>
      <w:r w:rsidR="009E22CE" w:rsidRPr="00A577DF">
        <w:rPr>
          <w:color w:val="000000" w:themeColor="text1"/>
          <w:sz w:val="22"/>
          <w:szCs w:val="22"/>
          <w:lang w:val="de-AT"/>
        </w:rPr>
        <w:t>ein Rekordniveau erreicht hatte</w:t>
      </w:r>
      <w:r w:rsidR="00BC273E" w:rsidRPr="00A577DF">
        <w:rPr>
          <w:color w:val="000000" w:themeColor="text1"/>
          <w:sz w:val="22"/>
          <w:szCs w:val="22"/>
          <w:lang w:val="de-AT"/>
        </w:rPr>
        <w:t xml:space="preserve">, </w:t>
      </w:r>
      <w:r w:rsidR="006007F8" w:rsidRPr="00A577DF">
        <w:rPr>
          <w:color w:val="000000" w:themeColor="text1"/>
          <w:sz w:val="22"/>
          <w:szCs w:val="22"/>
          <w:lang w:val="de-AT"/>
        </w:rPr>
        <w:t xml:space="preserve">wächst weiter und </w:t>
      </w:r>
      <w:r w:rsidR="006E5C42" w:rsidRPr="00A577DF">
        <w:rPr>
          <w:color w:val="000000" w:themeColor="text1"/>
          <w:sz w:val="22"/>
          <w:szCs w:val="22"/>
          <w:lang w:val="de-AT"/>
        </w:rPr>
        <w:t xml:space="preserve">erreicht </w:t>
      </w:r>
      <w:r w:rsidR="001B70B4" w:rsidRPr="00A577DF">
        <w:rPr>
          <w:color w:val="000000" w:themeColor="text1"/>
          <w:sz w:val="22"/>
          <w:szCs w:val="22"/>
          <w:lang w:val="de-AT"/>
        </w:rPr>
        <w:t xml:space="preserve">zum 31. </w:t>
      </w:r>
      <w:r w:rsidRPr="00A577DF">
        <w:rPr>
          <w:color w:val="000000" w:themeColor="text1"/>
          <w:sz w:val="22"/>
          <w:szCs w:val="22"/>
          <w:lang w:val="de-AT"/>
        </w:rPr>
        <w:t xml:space="preserve">März 2022 einen Umsatz von 3,9 Monaten. </w:t>
      </w:r>
      <w:r w:rsidR="004240E5">
        <w:rPr>
          <w:color w:val="000000" w:themeColor="text1"/>
          <w:sz w:val="22"/>
          <w:szCs w:val="22"/>
          <w:lang w:val="de-AT"/>
        </w:rPr>
        <w:t xml:space="preserve">Dacia </w:t>
      </w:r>
      <w:r w:rsidR="00F50D82" w:rsidRPr="00A577DF">
        <w:rPr>
          <w:color w:val="000000" w:themeColor="text1"/>
          <w:sz w:val="22"/>
          <w:szCs w:val="22"/>
          <w:lang w:val="de-AT"/>
        </w:rPr>
        <w:t xml:space="preserve">Spring verzeichnete im </w:t>
      </w:r>
      <w:r w:rsidR="004240E5">
        <w:rPr>
          <w:color w:val="000000" w:themeColor="text1"/>
          <w:sz w:val="22"/>
          <w:szCs w:val="22"/>
          <w:lang w:val="de-AT"/>
        </w:rPr>
        <w:t>ersten</w:t>
      </w:r>
      <w:r w:rsidR="00FF776B" w:rsidRPr="00A577DF">
        <w:rPr>
          <w:color w:val="000000" w:themeColor="text1"/>
          <w:sz w:val="22"/>
          <w:szCs w:val="22"/>
          <w:lang w:val="de-AT"/>
        </w:rPr>
        <w:t xml:space="preserve"> Quartal </w:t>
      </w:r>
      <w:r w:rsidR="00F50D82" w:rsidRPr="00A577DF">
        <w:rPr>
          <w:color w:val="000000" w:themeColor="text1"/>
          <w:sz w:val="22"/>
          <w:szCs w:val="22"/>
          <w:lang w:val="de-AT"/>
        </w:rPr>
        <w:t>20.500 Bestellungen</w:t>
      </w:r>
      <w:r w:rsidR="00FF776B" w:rsidRPr="00A577DF">
        <w:rPr>
          <w:color w:val="000000" w:themeColor="text1"/>
          <w:sz w:val="22"/>
          <w:szCs w:val="22"/>
          <w:lang w:val="de-AT"/>
        </w:rPr>
        <w:t xml:space="preserve"> </w:t>
      </w:r>
      <w:r w:rsidR="00F50D82" w:rsidRPr="00A577DF">
        <w:rPr>
          <w:color w:val="000000" w:themeColor="text1"/>
          <w:sz w:val="22"/>
          <w:szCs w:val="22"/>
          <w:lang w:val="de-AT"/>
        </w:rPr>
        <w:t xml:space="preserve">und der </w:t>
      </w:r>
      <w:r w:rsidR="004240E5">
        <w:rPr>
          <w:color w:val="000000" w:themeColor="text1"/>
          <w:sz w:val="22"/>
          <w:szCs w:val="22"/>
          <w:lang w:val="de-AT"/>
        </w:rPr>
        <w:t>neue</w:t>
      </w:r>
      <w:r w:rsidRPr="00A577DF">
        <w:rPr>
          <w:color w:val="000000" w:themeColor="text1"/>
          <w:sz w:val="22"/>
          <w:szCs w:val="22"/>
          <w:lang w:val="de-AT"/>
        </w:rPr>
        <w:t xml:space="preserve"> Jogger verspricht ein neuer Erfolg für die Marke Dacia zu werden, mit einem starken Auftragsbestand (36.500 Bestellungen in </w:t>
      </w:r>
      <w:r w:rsidR="004240E5">
        <w:rPr>
          <w:color w:val="000000" w:themeColor="text1"/>
          <w:sz w:val="22"/>
          <w:szCs w:val="22"/>
          <w:lang w:val="de-AT"/>
        </w:rPr>
        <w:t>vier</w:t>
      </w:r>
      <w:r w:rsidRPr="00A577DF">
        <w:rPr>
          <w:color w:val="000000" w:themeColor="text1"/>
          <w:sz w:val="22"/>
          <w:szCs w:val="22"/>
          <w:lang w:val="de-AT"/>
        </w:rPr>
        <w:t xml:space="preserve"> Monaten, mit einem Mix von </w:t>
      </w:r>
      <w:r w:rsidR="00BE684B" w:rsidRPr="00A577DF">
        <w:rPr>
          <w:color w:val="000000" w:themeColor="text1"/>
          <w:sz w:val="22"/>
          <w:szCs w:val="22"/>
          <w:lang w:val="de-AT"/>
        </w:rPr>
        <w:t xml:space="preserve">70 % </w:t>
      </w:r>
      <w:r w:rsidRPr="00A577DF">
        <w:rPr>
          <w:color w:val="000000" w:themeColor="text1"/>
          <w:sz w:val="22"/>
          <w:szCs w:val="22"/>
          <w:lang w:val="de-AT"/>
        </w:rPr>
        <w:t xml:space="preserve">an hohen Versionen in Europa). Für </w:t>
      </w:r>
      <w:r w:rsidR="00F46FB5" w:rsidRPr="00A577DF">
        <w:rPr>
          <w:color w:val="000000" w:themeColor="text1"/>
          <w:sz w:val="22"/>
          <w:szCs w:val="22"/>
          <w:lang w:val="de-AT"/>
        </w:rPr>
        <w:t xml:space="preserve">den </w:t>
      </w:r>
      <w:r w:rsidRPr="00A577DF">
        <w:rPr>
          <w:color w:val="000000" w:themeColor="text1"/>
          <w:sz w:val="22"/>
          <w:szCs w:val="22"/>
          <w:lang w:val="de-AT"/>
        </w:rPr>
        <w:t>Megane E-</w:t>
      </w:r>
      <w:r w:rsidR="005C37CF">
        <w:rPr>
          <w:sz w:val="22"/>
          <w:szCs w:val="22"/>
          <w:lang w:val="de-AT"/>
        </w:rPr>
        <w:t>Tech</w:t>
      </w:r>
      <w:r w:rsidR="005C37CF" w:rsidRPr="00A577DF">
        <w:rPr>
          <w:color w:val="000000" w:themeColor="text1"/>
          <w:sz w:val="22"/>
          <w:szCs w:val="22"/>
          <w:lang w:val="de-AT"/>
        </w:rPr>
        <w:t xml:space="preserve"> </w:t>
      </w:r>
      <w:r w:rsidRPr="00A577DF">
        <w:rPr>
          <w:color w:val="000000" w:themeColor="text1"/>
          <w:sz w:val="22"/>
          <w:szCs w:val="22"/>
          <w:lang w:val="de-AT"/>
        </w:rPr>
        <w:t xml:space="preserve">Electric liegen bereits mehr als 10.000 Bestellungen in zwei Monaten vor, davon </w:t>
      </w:r>
      <w:r w:rsidR="00767D17" w:rsidRPr="00A577DF">
        <w:rPr>
          <w:color w:val="000000" w:themeColor="text1"/>
          <w:sz w:val="22"/>
          <w:szCs w:val="22"/>
          <w:lang w:val="de-AT"/>
        </w:rPr>
        <w:t xml:space="preserve">70 % </w:t>
      </w:r>
      <w:r w:rsidRPr="00A577DF">
        <w:rPr>
          <w:color w:val="000000" w:themeColor="text1"/>
          <w:sz w:val="22"/>
          <w:szCs w:val="22"/>
          <w:lang w:val="de-AT"/>
        </w:rPr>
        <w:t xml:space="preserve">für die hohen Ausstattungsvarianten. Die ersten Auslieferungen des </w:t>
      </w:r>
      <w:r w:rsidR="00E64A4A" w:rsidRPr="00A577DF">
        <w:rPr>
          <w:color w:val="000000" w:themeColor="text1"/>
          <w:sz w:val="22"/>
          <w:szCs w:val="22"/>
          <w:lang w:val="de-AT"/>
        </w:rPr>
        <w:t xml:space="preserve">Megane </w:t>
      </w:r>
      <w:r w:rsidRPr="00A577DF">
        <w:rPr>
          <w:color w:val="000000" w:themeColor="text1"/>
          <w:sz w:val="22"/>
          <w:szCs w:val="22"/>
          <w:lang w:val="de-AT"/>
        </w:rPr>
        <w:t>E-</w:t>
      </w:r>
      <w:r w:rsidR="005C37CF">
        <w:rPr>
          <w:sz w:val="22"/>
          <w:szCs w:val="22"/>
          <w:lang w:val="de-AT"/>
        </w:rPr>
        <w:t xml:space="preserve">Tech </w:t>
      </w:r>
      <w:r w:rsidRPr="00A577DF">
        <w:rPr>
          <w:color w:val="000000" w:themeColor="text1"/>
          <w:sz w:val="22"/>
          <w:szCs w:val="22"/>
          <w:lang w:val="de-AT"/>
        </w:rPr>
        <w:t xml:space="preserve">Electric werden </w:t>
      </w:r>
      <w:r w:rsidR="004240E5">
        <w:rPr>
          <w:color w:val="000000" w:themeColor="text1"/>
          <w:sz w:val="22"/>
          <w:szCs w:val="22"/>
          <w:lang w:val="de-AT"/>
        </w:rPr>
        <w:t xml:space="preserve">für Frankreich </w:t>
      </w:r>
      <w:r w:rsidR="008D13B3" w:rsidRPr="00A577DF">
        <w:rPr>
          <w:color w:val="000000" w:themeColor="text1"/>
          <w:sz w:val="22"/>
          <w:szCs w:val="22"/>
          <w:lang w:val="de-AT"/>
        </w:rPr>
        <w:t xml:space="preserve">im </w:t>
      </w:r>
      <w:r w:rsidRPr="00A577DF">
        <w:rPr>
          <w:color w:val="000000" w:themeColor="text1"/>
          <w:sz w:val="22"/>
          <w:szCs w:val="22"/>
          <w:lang w:val="de-AT"/>
        </w:rPr>
        <w:t xml:space="preserve">Mai und </w:t>
      </w:r>
      <w:r w:rsidR="00B002BA">
        <w:rPr>
          <w:color w:val="000000" w:themeColor="text1"/>
          <w:sz w:val="22"/>
          <w:szCs w:val="22"/>
          <w:lang w:val="de-AT"/>
        </w:rPr>
        <w:t xml:space="preserve">für die wichtigsten europäischen Märkte </w:t>
      </w:r>
      <w:r w:rsidR="00080097" w:rsidRPr="00A577DF">
        <w:rPr>
          <w:color w:val="000000" w:themeColor="text1"/>
          <w:sz w:val="22"/>
          <w:szCs w:val="22"/>
          <w:lang w:val="de-AT"/>
        </w:rPr>
        <w:t xml:space="preserve">im </w:t>
      </w:r>
      <w:r w:rsidRPr="00A577DF">
        <w:rPr>
          <w:color w:val="000000" w:themeColor="text1"/>
          <w:sz w:val="22"/>
          <w:szCs w:val="22"/>
          <w:lang w:val="de-AT"/>
        </w:rPr>
        <w:t xml:space="preserve">Juni </w:t>
      </w:r>
      <w:r w:rsidR="0043575F" w:rsidRPr="00A577DF">
        <w:rPr>
          <w:color w:val="000000" w:themeColor="text1"/>
          <w:sz w:val="22"/>
          <w:szCs w:val="22"/>
          <w:lang w:val="de-AT"/>
        </w:rPr>
        <w:t>erfolgen</w:t>
      </w:r>
      <w:r w:rsidRPr="00A577DF">
        <w:rPr>
          <w:color w:val="000000" w:themeColor="text1"/>
          <w:sz w:val="22"/>
          <w:szCs w:val="22"/>
          <w:lang w:val="de-AT"/>
        </w:rPr>
        <w:t>.</w:t>
      </w:r>
    </w:p>
    <w:p w14:paraId="66082E95" w14:textId="77777777" w:rsidR="00C53860" w:rsidRPr="00A577DF" w:rsidRDefault="00C53860" w:rsidP="007B10D7">
      <w:pPr>
        <w:spacing w:line="250" w:lineRule="auto"/>
        <w:ind w:right="652"/>
        <w:jc w:val="both"/>
        <w:rPr>
          <w:rFonts w:ascii="Renault Group" w:eastAsia="Renault Group" w:hAnsi="Renault Group" w:cs="Times New Roman"/>
          <w:sz w:val="22"/>
          <w:szCs w:val="22"/>
          <w:lang w:val="de-AT"/>
        </w:rPr>
      </w:pPr>
    </w:p>
    <w:p w14:paraId="2984E1B2" w14:textId="77777777" w:rsidR="00D26979" w:rsidRPr="00A577DF" w:rsidRDefault="008B6935">
      <w:pPr>
        <w:spacing w:before="0" w:line="240" w:lineRule="auto"/>
        <w:jc w:val="both"/>
        <w:rPr>
          <w:b/>
          <w:bCs/>
          <w:sz w:val="22"/>
          <w:szCs w:val="22"/>
          <w:lang w:val="de-AT"/>
        </w:rPr>
      </w:pPr>
      <w:r w:rsidRPr="00A577DF">
        <w:rPr>
          <w:b/>
          <w:bCs/>
          <w:sz w:val="22"/>
          <w:szCs w:val="22"/>
          <w:lang w:val="de-AT"/>
        </w:rPr>
        <w:t xml:space="preserve">UMSATZ IM ERSTEN QUARTAL </w:t>
      </w:r>
    </w:p>
    <w:p w14:paraId="69D33C28" w14:textId="77777777" w:rsidR="00AB0AC5" w:rsidRPr="00A577DF" w:rsidRDefault="00AB0AC5" w:rsidP="004E6061">
      <w:pPr>
        <w:spacing w:before="0" w:line="240" w:lineRule="auto"/>
        <w:jc w:val="both"/>
        <w:rPr>
          <w:b/>
          <w:bCs/>
          <w:sz w:val="22"/>
          <w:szCs w:val="22"/>
          <w:lang w:val="de-AT"/>
        </w:rPr>
      </w:pPr>
    </w:p>
    <w:p w14:paraId="67B7CA35" w14:textId="48EE5D85" w:rsidR="00D26979" w:rsidRPr="00A577DF" w:rsidRDefault="008B6935">
      <w:pPr>
        <w:ind w:right="-2"/>
        <w:jc w:val="both"/>
        <w:rPr>
          <w:color w:val="000000" w:themeColor="text1"/>
          <w:sz w:val="22"/>
          <w:szCs w:val="22"/>
          <w:lang w:val="de-AT"/>
        </w:rPr>
      </w:pPr>
      <w:r w:rsidRPr="00A577DF">
        <w:rPr>
          <w:color w:val="000000" w:themeColor="text1"/>
          <w:sz w:val="22"/>
          <w:szCs w:val="22"/>
          <w:lang w:val="de-AT"/>
        </w:rPr>
        <w:t xml:space="preserve">Im </w:t>
      </w:r>
      <w:r w:rsidR="00B002BA">
        <w:rPr>
          <w:color w:val="000000" w:themeColor="text1"/>
          <w:sz w:val="22"/>
          <w:szCs w:val="22"/>
          <w:lang w:val="de-AT"/>
        </w:rPr>
        <w:t>ersten</w:t>
      </w:r>
      <w:r w:rsidRPr="00A577DF">
        <w:rPr>
          <w:color w:val="000000" w:themeColor="text1"/>
          <w:sz w:val="22"/>
          <w:szCs w:val="22"/>
          <w:lang w:val="de-AT"/>
        </w:rPr>
        <w:t xml:space="preserve"> Quartal 2022 belief sich </w:t>
      </w:r>
      <w:r w:rsidRPr="00A577DF">
        <w:rPr>
          <w:b/>
          <w:bCs/>
          <w:color w:val="000000" w:themeColor="text1"/>
          <w:sz w:val="22"/>
          <w:szCs w:val="22"/>
          <w:lang w:val="de-AT"/>
        </w:rPr>
        <w:t xml:space="preserve">der Umsatz der Gruppe auf </w:t>
      </w:r>
      <w:r w:rsidR="00CB007C" w:rsidRPr="00A577DF">
        <w:rPr>
          <w:color w:val="000000" w:themeColor="text1"/>
          <w:sz w:val="22"/>
          <w:szCs w:val="22"/>
          <w:lang w:val="de-AT"/>
        </w:rPr>
        <w:t>9,7 Milliarden Euro</w:t>
      </w:r>
      <w:r w:rsidRPr="00A577DF">
        <w:rPr>
          <w:color w:val="000000" w:themeColor="text1"/>
          <w:sz w:val="22"/>
          <w:szCs w:val="22"/>
          <w:lang w:val="de-AT"/>
        </w:rPr>
        <w:t xml:space="preserve">, was einem Rückgang von </w:t>
      </w:r>
      <w:r w:rsidR="00921C53" w:rsidRPr="00A577DF">
        <w:rPr>
          <w:color w:val="000000" w:themeColor="text1"/>
          <w:sz w:val="22"/>
          <w:szCs w:val="22"/>
          <w:lang w:val="de-AT"/>
        </w:rPr>
        <w:t>-2,</w:t>
      </w:r>
      <w:r w:rsidRPr="00A577DF">
        <w:rPr>
          <w:color w:val="000000" w:themeColor="text1"/>
          <w:sz w:val="22"/>
          <w:szCs w:val="22"/>
          <w:lang w:val="de-AT"/>
        </w:rPr>
        <w:t>7% gegenüber dem Vorjahr entspricht. Bei konstantem Konsolidierungskreis und konstanten Wechselkursen</w:t>
      </w:r>
      <w:r w:rsidR="005E566D" w:rsidRPr="00A577DF">
        <w:rPr>
          <w:rStyle w:val="Funotenzeichen"/>
          <w:color w:val="000000" w:themeColor="text1"/>
          <w:sz w:val="22"/>
          <w:szCs w:val="22"/>
          <w:lang w:val="de-AT"/>
        </w:rPr>
        <w:footnoteReference w:id="4"/>
      </w:r>
      <w:r w:rsidR="001D094E" w:rsidRPr="00A577DF">
        <w:rPr>
          <w:color w:val="000000" w:themeColor="text1"/>
          <w:sz w:val="22"/>
          <w:szCs w:val="22"/>
          <w:lang w:val="de-AT"/>
        </w:rPr>
        <w:t xml:space="preserve"> betrug </w:t>
      </w:r>
      <w:r w:rsidRPr="00A577DF">
        <w:rPr>
          <w:color w:val="000000" w:themeColor="text1"/>
          <w:sz w:val="22"/>
          <w:szCs w:val="22"/>
          <w:lang w:val="de-AT"/>
        </w:rPr>
        <w:t xml:space="preserve">der Rückgang </w:t>
      </w:r>
      <w:r w:rsidR="00E31D22" w:rsidRPr="00A577DF">
        <w:rPr>
          <w:color w:val="000000" w:themeColor="text1"/>
          <w:sz w:val="22"/>
          <w:szCs w:val="22"/>
          <w:lang w:val="de-AT"/>
        </w:rPr>
        <w:t>-0,</w:t>
      </w:r>
      <w:r w:rsidRPr="00A577DF">
        <w:rPr>
          <w:color w:val="000000" w:themeColor="text1"/>
          <w:sz w:val="22"/>
          <w:szCs w:val="22"/>
          <w:lang w:val="de-AT"/>
        </w:rPr>
        <w:t>7 %.</w:t>
      </w:r>
    </w:p>
    <w:p w14:paraId="10D540E1" w14:textId="37D80282" w:rsidR="00D26979" w:rsidRPr="00A577DF" w:rsidRDefault="008B6935">
      <w:pPr>
        <w:jc w:val="both"/>
        <w:rPr>
          <w:color w:val="000000" w:themeColor="text1"/>
          <w:sz w:val="22"/>
          <w:szCs w:val="22"/>
          <w:lang w:val="de-AT"/>
        </w:rPr>
      </w:pPr>
      <w:r w:rsidRPr="00A577DF">
        <w:rPr>
          <w:b/>
          <w:bCs/>
          <w:color w:val="000000" w:themeColor="text1"/>
          <w:sz w:val="22"/>
          <w:szCs w:val="22"/>
          <w:lang w:val="de-AT"/>
        </w:rPr>
        <w:t xml:space="preserve">Die Umsätze </w:t>
      </w:r>
      <w:r w:rsidRPr="00A577DF">
        <w:rPr>
          <w:b/>
          <w:bCs/>
          <w:sz w:val="22"/>
          <w:szCs w:val="22"/>
          <w:lang w:val="de-AT"/>
        </w:rPr>
        <w:t xml:space="preserve">von </w:t>
      </w:r>
      <w:r w:rsidR="00BA4F7D" w:rsidRPr="00A577DF">
        <w:rPr>
          <w:b/>
          <w:bCs/>
          <w:sz w:val="22"/>
          <w:szCs w:val="22"/>
          <w:lang w:val="de-AT"/>
        </w:rPr>
        <w:t xml:space="preserve">AVTOVAZ </w:t>
      </w:r>
      <w:r w:rsidRPr="00A577DF">
        <w:rPr>
          <w:b/>
          <w:bCs/>
          <w:sz w:val="22"/>
          <w:szCs w:val="22"/>
          <w:lang w:val="de-AT"/>
        </w:rPr>
        <w:t xml:space="preserve">und Renault Russland beliefen </w:t>
      </w:r>
      <w:r w:rsidR="001972CC" w:rsidRPr="00A577DF">
        <w:rPr>
          <w:color w:val="000000" w:themeColor="text1"/>
          <w:sz w:val="22"/>
          <w:szCs w:val="22"/>
          <w:lang w:val="de-AT"/>
        </w:rPr>
        <w:t xml:space="preserve">sich auf </w:t>
      </w:r>
      <w:r w:rsidRPr="00A577DF">
        <w:rPr>
          <w:color w:val="000000" w:themeColor="text1"/>
          <w:sz w:val="22"/>
          <w:szCs w:val="22"/>
          <w:lang w:val="de-AT"/>
        </w:rPr>
        <w:t>0,9 M</w:t>
      </w:r>
      <w:r w:rsidR="00CD7F73">
        <w:rPr>
          <w:color w:val="000000" w:themeColor="text1"/>
          <w:sz w:val="22"/>
          <w:szCs w:val="22"/>
          <w:lang w:val="de-AT"/>
        </w:rPr>
        <w:t>illiarden Euro</w:t>
      </w:r>
      <w:r w:rsidRPr="00A577DF">
        <w:rPr>
          <w:color w:val="000000" w:themeColor="text1"/>
          <w:sz w:val="22"/>
          <w:szCs w:val="22"/>
          <w:lang w:val="de-AT"/>
        </w:rPr>
        <w:t xml:space="preserve">, was einem Rückgang von </w:t>
      </w:r>
      <w:r w:rsidR="00900457" w:rsidRPr="00A577DF">
        <w:rPr>
          <w:color w:val="000000" w:themeColor="text1"/>
          <w:sz w:val="22"/>
          <w:szCs w:val="22"/>
          <w:lang w:val="de-AT"/>
        </w:rPr>
        <w:t>15</w:t>
      </w:r>
      <w:r w:rsidRPr="00A577DF">
        <w:rPr>
          <w:color w:val="000000" w:themeColor="text1"/>
          <w:sz w:val="22"/>
          <w:szCs w:val="22"/>
          <w:lang w:val="de-AT"/>
        </w:rPr>
        <w:t xml:space="preserve">,7 % </w:t>
      </w:r>
      <w:r w:rsidR="009263A2" w:rsidRPr="00A577DF">
        <w:rPr>
          <w:color w:val="000000" w:themeColor="text1"/>
          <w:sz w:val="22"/>
          <w:szCs w:val="22"/>
          <w:lang w:val="de-AT"/>
        </w:rPr>
        <w:t xml:space="preserve">im Berichtszeitraum </w:t>
      </w:r>
      <w:r w:rsidR="00E7565F" w:rsidRPr="00A577DF">
        <w:rPr>
          <w:color w:val="000000" w:themeColor="text1"/>
          <w:sz w:val="22"/>
          <w:szCs w:val="22"/>
          <w:lang w:val="de-AT"/>
        </w:rPr>
        <w:t xml:space="preserve">entspricht, da die Geschäftstätigkeit ab </w:t>
      </w:r>
      <w:r w:rsidR="00B002BA">
        <w:rPr>
          <w:color w:val="000000" w:themeColor="text1"/>
          <w:sz w:val="22"/>
          <w:szCs w:val="22"/>
          <w:lang w:val="de-AT"/>
        </w:rPr>
        <w:t xml:space="preserve">dem 24. </w:t>
      </w:r>
      <w:r w:rsidR="00E7565F" w:rsidRPr="00A577DF">
        <w:rPr>
          <w:color w:val="000000" w:themeColor="text1"/>
          <w:sz w:val="22"/>
          <w:szCs w:val="22"/>
          <w:lang w:val="de-AT"/>
        </w:rPr>
        <w:t xml:space="preserve">Februar </w:t>
      </w:r>
      <w:r w:rsidR="00B002BA">
        <w:rPr>
          <w:color w:val="000000" w:themeColor="text1"/>
          <w:sz w:val="22"/>
          <w:szCs w:val="22"/>
          <w:lang w:val="de-AT"/>
        </w:rPr>
        <w:t xml:space="preserve">durch den Konflikt in der Ukraine </w:t>
      </w:r>
      <w:r w:rsidR="00E7565F" w:rsidRPr="00A577DF">
        <w:rPr>
          <w:color w:val="000000" w:themeColor="text1"/>
          <w:sz w:val="22"/>
          <w:szCs w:val="22"/>
          <w:lang w:val="de-AT"/>
        </w:rPr>
        <w:t xml:space="preserve">stark beeinträchtigt wurde. Der </w:t>
      </w:r>
      <w:r w:rsidR="00F52214" w:rsidRPr="00A577DF">
        <w:rPr>
          <w:color w:val="000000" w:themeColor="text1"/>
          <w:sz w:val="22"/>
          <w:szCs w:val="22"/>
          <w:lang w:val="de-AT"/>
        </w:rPr>
        <w:t xml:space="preserve">Beitrag von AVTOVAZ belief sich </w:t>
      </w:r>
      <w:r w:rsidR="009263A2" w:rsidRPr="00A577DF">
        <w:rPr>
          <w:color w:val="000000" w:themeColor="text1"/>
          <w:sz w:val="22"/>
          <w:szCs w:val="22"/>
          <w:lang w:val="de-AT"/>
        </w:rPr>
        <w:t xml:space="preserve">auf 527 </w:t>
      </w:r>
      <w:r w:rsidR="00F52214" w:rsidRPr="00A577DF">
        <w:rPr>
          <w:color w:val="000000" w:themeColor="text1"/>
          <w:sz w:val="22"/>
          <w:szCs w:val="22"/>
          <w:lang w:val="de-AT"/>
        </w:rPr>
        <w:t xml:space="preserve">Millionen Euro, was einem Rückgang von </w:t>
      </w:r>
      <w:r w:rsidR="00900457" w:rsidRPr="00A577DF">
        <w:rPr>
          <w:color w:val="000000" w:themeColor="text1"/>
          <w:sz w:val="22"/>
          <w:szCs w:val="22"/>
          <w:lang w:val="de-AT"/>
        </w:rPr>
        <w:t>-23</w:t>
      </w:r>
      <w:r w:rsidR="00F52214" w:rsidRPr="00A577DF">
        <w:rPr>
          <w:color w:val="000000" w:themeColor="text1"/>
          <w:sz w:val="22"/>
          <w:szCs w:val="22"/>
          <w:lang w:val="de-AT"/>
        </w:rPr>
        <w:t>,1 % entspricht</w:t>
      </w:r>
      <w:r w:rsidR="000460BA" w:rsidRPr="00A577DF">
        <w:rPr>
          <w:color w:val="000000" w:themeColor="text1"/>
          <w:sz w:val="22"/>
          <w:szCs w:val="22"/>
          <w:lang w:val="de-AT"/>
        </w:rPr>
        <w:t xml:space="preserve">. Der </w:t>
      </w:r>
      <w:r w:rsidR="00F52214" w:rsidRPr="00A577DF">
        <w:rPr>
          <w:color w:val="000000" w:themeColor="text1"/>
          <w:sz w:val="22"/>
          <w:szCs w:val="22"/>
          <w:lang w:val="de-AT"/>
        </w:rPr>
        <w:t>Umsatz von Renault Russland belief sich auf 367 Mi</w:t>
      </w:r>
      <w:r w:rsidR="00CD7F73">
        <w:rPr>
          <w:color w:val="000000" w:themeColor="text1"/>
          <w:sz w:val="22"/>
          <w:szCs w:val="22"/>
          <w:lang w:val="de-AT"/>
        </w:rPr>
        <w:t>llionen Euro</w:t>
      </w:r>
      <w:r w:rsidR="00F52214" w:rsidRPr="00A577DF">
        <w:rPr>
          <w:color w:val="000000" w:themeColor="text1"/>
          <w:sz w:val="22"/>
          <w:szCs w:val="22"/>
          <w:lang w:val="de-AT"/>
        </w:rPr>
        <w:t xml:space="preserve">, ein Rückgang von nur -2,1 %, der auf </w:t>
      </w:r>
      <w:r w:rsidR="00270D36" w:rsidRPr="00A577DF">
        <w:rPr>
          <w:color w:val="000000" w:themeColor="text1"/>
          <w:sz w:val="22"/>
          <w:szCs w:val="22"/>
          <w:lang w:val="de-AT"/>
        </w:rPr>
        <w:t xml:space="preserve">den Abbau von Lagerbeständen </w:t>
      </w:r>
      <w:r w:rsidRPr="00A577DF">
        <w:rPr>
          <w:color w:val="000000" w:themeColor="text1"/>
          <w:sz w:val="22"/>
          <w:szCs w:val="22"/>
          <w:lang w:val="de-AT"/>
        </w:rPr>
        <w:t xml:space="preserve">und </w:t>
      </w:r>
      <w:r w:rsidR="00F52214" w:rsidRPr="00A577DF">
        <w:rPr>
          <w:color w:val="000000" w:themeColor="text1"/>
          <w:sz w:val="22"/>
          <w:szCs w:val="22"/>
          <w:lang w:val="de-AT"/>
        </w:rPr>
        <w:t>Preiserhöhungen zurückzuführen ist.</w:t>
      </w:r>
    </w:p>
    <w:p w14:paraId="6026A13F" w14:textId="2757BB99" w:rsidR="00D26979" w:rsidRPr="00A577DF" w:rsidRDefault="008B6935">
      <w:pPr>
        <w:jc w:val="both"/>
        <w:rPr>
          <w:color w:val="000000" w:themeColor="text1"/>
          <w:sz w:val="22"/>
          <w:szCs w:val="22"/>
          <w:lang w:val="de-AT"/>
        </w:rPr>
      </w:pPr>
      <w:r w:rsidRPr="00A577DF">
        <w:rPr>
          <w:color w:val="000000" w:themeColor="text1"/>
          <w:sz w:val="22"/>
          <w:szCs w:val="22"/>
          <w:lang w:val="de-AT"/>
        </w:rPr>
        <w:t xml:space="preserve">Ohne die </w:t>
      </w:r>
      <w:r w:rsidR="001972CC" w:rsidRPr="00A577DF">
        <w:rPr>
          <w:color w:val="000000" w:themeColor="text1"/>
          <w:sz w:val="22"/>
          <w:szCs w:val="22"/>
          <w:lang w:val="de-AT"/>
        </w:rPr>
        <w:t xml:space="preserve">Aktivitäten </w:t>
      </w:r>
      <w:r w:rsidRPr="00A577DF">
        <w:rPr>
          <w:color w:val="000000" w:themeColor="text1"/>
          <w:sz w:val="22"/>
          <w:szCs w:val="22"/>
          <w:lang w:val="de-AT"/>
        </w:rPr>
        <w:t xml:space="preserve">von AVTOVAZ und Renault Russland </w:t>
      </w:r>
      <w:r w:rsidR="00FB75D5" w:rsidRPr="00A577DF">
        <w:rPr>
          <w:color w:val="000000" w:themeColor="text1"/>
          <w:sz w:val="22"/>
          <w:szCs w:val="22"/>
          <w:lang w:val="de-AT"/>
        </w:rPr>
        <w:t xml:space="preserve">belief sich </w:t>
      </w:r>
      <w:r w:rsidR="00CF2824" w:rsidRPr="00A577DF">
        <w:rPr>
          <w:b/>
          <w:bCs/>
          <w:color w:val="000000" w:themeColor="text1"/>
          <w:sz w:val="22"/>
          <w:szCs w:val="22"/>
          <w:lang w:val="de-AT"/>
        </w:rPr>
        <w:t xml:space="preserve">der Umsatz der Gruppe </w:t>
      </w:r>
      <w:r w:rsidR="00FB75D5" w:rsidRPr="00A577DF">
        <w:rPr>
          <w:color w:val="000000" w:themeColor="text1"/>
          <w:sz w:val="22"/>
          <w:szCs w:val="22"/>
          <w:lang w:val="de-AT"/>
        </w:rPr>
        <w:t xml:space="preserve">auf </w:t>
      </w:r>
      <w:r w:rsidR="00CF2824" w:rsidRPr="00A577DF">
        <w:rPr>
          <w:color w:val="000000" w:themeColor="text1"/>
          <w:sz w:val="22"/>
          <w:szCs w:val="22"/>
          <w:lang w:val="de-AT"/>
        </w:rPr>
        <w:t>8,9 M</w:t>
      </w:r>
      <w:r w:rsidR="00CD7F73">
        <w:rPr>
          <w:color w:val="000000" w:themeColor="text1"/>
          <w:sz w:val="22"/>
          <w:szCs w:val="22"/>
          <w:lang w:val="de-AT"/>
        </w:rPr>
        <w:t>illiarden</w:t>
      </w:r>
      <w:r w:rsidR="00CF2824" w:rsidRPr="00A577DF">
        <w:rPr>
          <w:color w:val="000000" w:themeColor="text1"/>
          <w:sz w:val="22"/>
          <w:szCs w:val="22"/>
          <w:lang w:val="de-AT"/>
        </w:rPr>
        <w:t xml:space="preserve"> </w:t>
      </w:r>
      <w:r w:rsidR="00CD7F73">
        <w:rPr>
          <w:color w:val="000000" w:themeColor="text1"/>
          <w:sz w:val="22"/>
          <w:szCs w:val="22"/>
          <w:lang w:val="de-AT"/>
        </w:rPr>
        <w:t>Euro</w:t>
      </w:r>
      <w:r w:rsidR="00CF2824" w:rsidRPr="00A577DF">
        <w:rPr>
          <w:color w:val="000000" w:themeColor="text1"/>
          <w:sz w:val="22"/>
          <w:szCs w:val="22"/>
          <w:lang w:val="de-AT"/>
        </w:rPr>
        <w:t>, was einem Rückgang von 1,1 % entspricht</w:t>
      </w:r>
      <w:r w:rsidR="00FB75D5" w:rsidRPr="00A577DF">
        <w:rPr>
          <w:color w:val="000000" w:themeColor="text1"/>
          <w:sz w:val="22"/>
          <w:szCs w:val="22"/>
          <w:lang w:val="de-AT"/>
        </w:rPr>
        <w:t xml:space="preserve">, und der </w:t>
      </w:r>
      <w:r w:rsidRPr="00A577DF">
        <w:rPr>
          <w:b/>
          <w:bCs/>
          <w:color w:val="000000" w:themeColor="text1"/>
          <w:sz w:val="22"/>
          <w:szCs w:val="22"/>
          <w:lang w:val="de-AT"/>
        </w:rPr>
        <w:t xml:space="preserve">Umsatz im Bereich Automotive </w:t>
      </w:r>
      <w:r w:rsidRPr="00A577DF">
        <w:rPr>
          <w:color w:val="000000" w:themeColor="text1"/>
          <w:sz w:val="22"/>
          <w:szCs w:val="22"/>
          <w:lang w:val="de-AT"/>
        </w:rPr>
        <w:t>auf 8,1 M</w:t>
      </w:r>
      <w:r w:rsidR="00CD7F73">
        <w:rPr>
          <w:color w:val="000000" w:themeColor="text1"/>
          <w:sz w:val="22"/>
          <w:szCs w:val="22"/>
          <w:lang w:val="de-AT"/>
        </w:rPr>
        <w:t>illiarden Euro</w:t>
      </w:r>
      <w:r w:rsidRPr="00A577DF">
        <w:rPr>
          <w:color w:val="000000" w:themeColor="text1"/>
          <w:sz w:val="22"/>
          <w:szCs w:val="22"/>
          <w:lang w:val="de-AT"/>
        </w:rPr>
        <w:t xml:space="preserve">, was einem Rückgang von 1,0 % entspricht. Diese Veränderung ist </w:t>
      </w:r>
      <w:r w:rsidR="008F3514" w:rsidRPr="00A577DF">
        <w:rPr>
          <w:color w:val="000000" w:themeColor="text1"/>
          <w:sz w:val="22"/>
          <w:szCs w:val="22"/>
          <w:lang w:val="de-AT"/>
        </w:rPr>
        <w:t xml:space="preserve">hauptsächlich </w:t>
      </w:r>
      <w:r w:rsidRPr="00A577DF">
        <w:rPr>
          <w:color w:val="000000" w:themeColor="text1"/>
          <w:sz w:val="22"/>
          <w:szCs w:val="22"/>
          <w:lang w:val="de-AT"/>
        </w:rPr>
        <w:t xml:space="preserve">auf Folgendes zurückzuführen: </w:t>
      </w:r>
    </w:p>
    <w:p w14:paraId="4504DFDA" w14:textId="75C48EA3" w:rsidR="00D26979" w:rsidRPr="00A577DF" w:rsidRDefault="008B6935">
      <w:pPr>
        <w:jc w:val="both"/>
        <w:rPr>
          <w:color w:val="000000" w:themeColor="text1"/>
          <w:sz w:val="22"/>
          <w:szCs w:val="22"/>
          <w:lang w:val="de-AT"/>
        </w:rPr>
      </w:pPr>
      <w:r w:rsidRPr="00A577DF">
        <w:rPr>
          <w:color w:val="000000" w:themeColor="text1"/>
          <w:sz w:val="22"/>
          <w:szCs w:val="22"/>
          <w:lang w:val="de-AT"/>
        </w:rPr>
        <w:t xml:space="preserve">Die negativen Wechselkurseffekte </w:t>
      </w:r>
      <w:r w:rsidR="00F9700E" w:rsidRPr="00A577DF">
        <w:rPr>
          <w:color w:val="000000" w:themeColor="text1"/>
          <w:sz w:val="22"/>
          <w:szCs w:val="22"/>
          <w:lang w:val="de-AT"/>
        </w:rPr>
        <w:t>(</w:t>
      </w:r>
      <w:r w:rsidRPr="00A577DF">
        <w:rPr>
          <w:color w:val="000000" w:themeColor="text1"/>
          <w:sz w:val="22"/>
          <w:szCs w:val="22"/>
          <w:lang w:val="de-AT"/>
        </w:rPr>
        <w:t xml:space="preserve">-0,9 Punkte) sind hauptsächlich auf die Abwertung der </w:t>
      </w:r>
      <w:proofErr w:type="spellStart"/>
      <w:r w:rsidR="003C6798">
        <w:rPr>
          <w:color w:val="000000" w:themeColor="text1"/>
          <w:sz w:val="22"/>
          <w:szCs w:val="22"/>
          <w:lang w:val="de-AT"/>
        </w:rPr>
        <w:t>T</w:t>
      </w:r>
      <w:r w:rsidRPr="00A577DF">
        <w:rPr>
          <w:color w:val="000000" w:themeColor="text1"/>
          <w:sz w:val="22"/>
          <w:szCs w:val="22"/>
          <w:lang w:val="de-AT"/>
        </w:rPr>
        <w:t>ürkischen</w:t>
      </w:r>
      <w:proofErr w:type="spellEnd"/>
      <w:r w:rsidRPr="00A577DF">
        <w:rPr>
          <w:color w:val="000000" w:themeColor="text1"/>
          <w:sz w:val="22"/>
          <w:szCs w:val="22"/>
          <w:lang w:val="de-AT"/>
        </w:rPr>
        <w:t xml:space="preserve"> Lira und in </w:t>
      </w:r>
      <w:r w:rsidR="00977426" w:rsidRPr="00A577DF">
        <w:rPr>
          <w:color w:val="000000" w:themeColor="text1"/>
          <w:sz w:val="22"/>
          <w:szCs w:val="22"/>
          <w:lang w:val="de-AT"/>
        </w:rPr>
        <w:t xml:space="preserve">geringerem Maße </w:t>
      </w:r>
      <w:r w:rsidR="00C55D99" w:rsidRPr="00A577DF">
        <w:rPr>
          <w:color w:val="000000" w:themeColor="text1"/>
          <w:sz w:val="22"/>
          <w:szCs w:val="22"/>
          <w:lang w:val="de-AT"/>
        </w:rPr>
        <w:t xml:space="preserve">des </w:t>
      </w:r>
      <w:r w:rsidR="003C6798">
        <w:rPr>
          <w:color w:val="000000" w:themeColor="text1"/>
          <w:sz w:val="22"/>
          <w:szCs w:val="22"/>
          <w:lang w:val="de-AT"/>
        </w:rPr>
        <w:t>A</w:t>
      </w:r>
      <w:r w:rsidR="00C55D99" w:rsidRPr="00A577DF">
        <w:rPr>
          <w:color w:val="000000" w:themeColor="text1"/>
          <w:sz w:val="22"/>
          <w:szCs w:val="22"/>
          <w:lang w:val="de-AT"/>
        </w:rPr>
        <w:t>rgentinischen Peso</w:t>
      </w:r>
      <w:r w:rsidRPr="00A577DF">
        <w:rPr>
          <w:color w:val="000000" w:themeColor="text1"/>
          <w:sz w:val="22"/>
          <w:szCs w:val="22"/>
          <w:lang w:val="de-AT"/>
        </w:rPr>
        <w:t xml:space="preserve"> zurückzuführen.</w:t>
      </w:r>
    </w:p>
    <w:p w14:paraId="670C9299" w14:textId="73B9BB83" w:rsidR="00D26979" w:rsidRPr="00A577DF" w:rsidRDefault="008B6935">
      <w:pPr>
        <w:jc w:val="both"/>
        <w:rPr>
          <w:color w:val="000000" w:themeColor="text1"/>
          <w:sz w:val="22"/>
          <w:szCs w:val="22"/>
          <w:lang w:val="de-AT"/>
        </w:rPr>
      </w:pPr>
      <w:r w:rsidRPr="00A577DF">
        <w:rPr>
          <w:color w:val="000000" w:themeColor="text1"/>
          <w:sz w:val="22"/>
          <w:szCs w:val="22"/>
          <w:lang w:val="de-AT"/>
        </w:rPr>
        <w:t xml:space="preserve">Der Volumeneffekt von -8,9 Punkten erklärt sich vor allem durch den Rückgang des Automobilmarktes in Europa, der mit der Verknappung von Halbleitern zusammenhängt und </w:t>
      </w:r>
      <w:r w:rsidR="00183F01" w:rsidRPr="00A577DF">
        <w:rPr>
          <w:color w:val="000000" w:themeColor="text1"/>
          <w:sz w:val="22"/>
          <w:szCs w:val="22"/>
          <w:lang w:val="de-AT"/>
        </w:rPr>
        <w:t xml:space="preserve">insbesondere die </w:t>
      </w:r>
      <w:r w:rsidR="009953C2" w:rsidRPr="00A577DF">
        <w:rPr>
          <w:color w:val="000000" w:themeColor="text1"/>
          <w:sz w:val="22"/>
          <w:szCs w:val="22"/>
          <w:lang w:val="de-AT"/>
        </w:rPr>
        <w:t xml:space="preserve">Verkäufe der Marke Renault </w:t>
      </w:r>
      <w:r w:rsidRPr="00A577DF">
        <w:rPr>
          <w:color w:val="000000" w:themeColor="text1"/>
          <w:sz w:val="22"/>
          <w:szCs w:val="22"/>
          <w:lang w:val="de-AT"/>
        </w:rPr>
        <w:t xml:space="preserve">betrifft, während Dacia </w:t>
      </w:r>
      <w:r w:rsidR="00895641">
        <w:rPr>
          <w:color w:val="000000" w:themeColor="text1"/>
          <w:sz w:val="22"/>
          <w:szCs w:val="22"/>
          <w:lang w:val="de-AT"/>
        </w:rPr>
        <w:t xml:space="preserve">von </w:t>
      </w:r>
      <w:r w:rsidRPr="00A577DF">
        <w:rPr>
          <w:color w:val="000000" w:themeColor="text1"/>
          <w:sz w:val="22"/>
          <w:szCs w:val="22"/>
          <w:lang w:val="de-AT"/>
        </w:rPr>
        <w:t xml:space="preserve">den am stärksten betroffenen Lieferanten </w:t>
      </w:r>
      <w:r w:rsidR="00E6130C">
        <w:rPr>
          <w:color w:val="000000" w:themeColor="text1"/>
          <w:sz w:val="22"/>
          <w:szCs w:val="22"/>
          <w:lang w:val="de-AT"/>
        </w:rPr>
        <w:t xml:space="preserve">weniger </w:t>
      </w:r>
      <w:r w:rsidR="00895641">
        <w:rPr>
          <w:color w:val="000000" w:themeColor="text1"/>
          <w:sz w:val="22"/>
          <w:szCs w:val="22"/>
          <w:lang w:val="de-AT"/>
        </w:rPr>
        <w:t xml:space="preserve">betroffen </w:t>
      </w:r>
      <w:r w:rsidRPr="00A577DF">
        <w:rPr>
          <w:color w:val="000000" w:themeColor="text1"/>
          <w:sz w:val="22"/>
          <w:szCs w:val="22"/>
          <w:lang w:val="de-AT"/>
        </w:rPr>
        <w:t>ist.</w:t>
      </w:r>
    </w:p>
    <w:p w14:paraId="6860E0B4" w14:textId="4A34D591" w:rsidR="00D26979" w:rsidRPr="00A577DF" w:rsidRDefault="008B6935">
      <w:pPr>
        <w:jc w:val="both"/>
        <w:rPr>
          <w:rFonts w:cs="Arial"/>
          <w:sz w:val="22"/>
          <w:szCs w:val="22"/>
          <w:lang w:val="de-AT"/>
        </w:rPr>
      </w:pPr>
      <w:r w:rsidRPr="00A577DF">
        <w:rPr>
          <w:color w:val="000000" w:themeColor="text1"/>
          <w:sz w:val="22"/>
          <w:szCs w:val="22"/>
          <w:lang w:val="de-AT"/>
        </w:rPr>
        <w:lastRenderedPageBreak/>
        <w:t xml:space="preserve">Der positive Preiseffekt </w:t>
      </w:r>
      <w:r w:rsidR="00563DB4" w:rsidRPr="00A577DF">
        <w:rPr>
          <w:color w:val="000000" w:themeColor="text1"/>
          <w:sz w:val="22"/>
          <w:szCs w:val="22"/>
          <w:lang w:val="de-AT"/>
        </w:rPr>
        <w:t xml:space="preserve">von </w:t>
      </w:r>
      <w:r w:rsidR="00900457" w:rsidRPr="00A577DF">
        <w:rPr>
          <w:color w:val="000000" w:themeColor="text1"/>
          <w:sz w:val="22"/>
          <w:szCs w:val="22"/>
          <w:lang w:val="de-AT"/>
        </w:rPr>
        <w:t>+5</w:t>
      </w:r>
      <w:r w:rsidR="00563DB4" w:rsidRPr="00A577DF">
        <w:rPr>
          <w:color w:val="000000" w:themeColor="text1"/>
          <w:sz w:val="22"/>
          <w:szCs w:val="22"/>
          <w:lang w:val="de-AT"/>
        </w:rPr>
        <w:t xml:space="preserve">,6 </w:t>
      </w:r>
      <w:r w:rsidRPr="00A577DF">
        <w:rPr>
          <w:color w:val="000000" w:themeColor="text1"/>
          <w:sz w:val="22"/>
          <w:szCs w:val="22"/>
          <w:lang w:val="de-AT"/>
        </w:rPr>
        <w:t xml:space="preserve">Punkten spiegelt die Fortsetzung unserer Politik wider, die den Wert über das Volumen stellt, sowie Preiserhöhungen zum Ausgleich der Kosteninflation und der Abwertung </w:t>
      </w:r>
      <w:r w:rsidR="00AB0B8F" w:rsidRPr="00A577DF">
        <w:rPr>
          <w:color w:val="000000" w:themeColor="text1"/>
          <w:sz w:val="22"/>
          <w:szCs w:val="22"/>
          <w:lang w:val="de-AT"/>
        </w:rPr>
        <w:t xml:space="preserve">einiger </w:t>
      </w:r>
      <w:r w:rsidRPr="00A577DF">
        <w:rPr>
          <w:color w:val="000000" w:themeColor="text1"/>
          <w:sz w:val="22"/>
          <w:szCs w:val="22"/>
          <w:lang w:val="de-AT"/>
        </w:rPr>
        <w:t>Währungen (</w:t>
      </w:r>
      <w:proofErr w:type="gramStart"/>
      <w:r w:rsidR="003C6798">
        <w:rPr>
          <w:color w:val="000000" w:themeColor="text1"/>
          <w:sz w:val="22"/>
          <w:szCs w:val="22"/>
          <w:lang w:val="de-AT"/>
        </w:rPr>
        <w:t>T</w:t>
      </w:r>
      <w:r w:rsidR="00C55D99" w:rsidRPr="00A577DF">
        <w:rPr>
          <w:color w:val="000000" w:themeColor="text1"/>
          <w:sz w:val="22"/>
          <w:szCs w:val="22"/>
          <w:lang w:val="de-AT"/>
        </w:rPr>
        <w:t>ürkische</w:t>
      </w:r>
      <w:proofErr w:type="gramEnd"/>
      <w:r w:rsidRPr="00A577DF">
        <w:rPr>
          <w:color w:val="000000" w:themeColor="text1"/>
          <w:sz w:val="22"/>
          <w:szCs w:val="22"/>
          <w:lang w:val="de-AT"/>
        </w:rPr>
        <w:t xml:space="preserve"> Lira und </w:t>
      </w:r>
      <w:r w:rsidR="003C6798">
        <w:rPr>
          <w:color w:val="000000" w:themeColor="text1"/>
          <w:sz w:val="22"/>
          <w:szCs w:val="22"/>
          <w:lang w:val="de-AT"/>
        </w:rPr>
        <w:t>A</w:t>
      </w:r>
      <w:r w:rsidRPr="00A577DF">
        <w:rPr>
          <w:color w:val="000000" w:themeColor="text1"/>
          <w:sz w:val="22"/>
          <w:szCs w:val="22"/>
          <w:lang w:val="de-AT"/>
        </w:rPr>
        <w:t>rgentinischer Peso).</w:t>
      </w:r>
    </w:p>
    <w:p w14:paraId="67995386" w14:textId="5FE8A34C" w:rsidR="00D26979" w:rsidRPr="00A577DF" w:rsidRDefault="008B6935">
      <w:pPr>
        <w:jc w:val="both"/>
        <w:rPr>
          <w:rFonts w:cs="Arial"/>
          <w:sz w:val="22"/>
          <w:szCs w:val="22"/>
          <w:lang w:val="de-AT"/>
        </w:rPr>
      </w:pPr>
      <w:r w:rsidRPr="00A577DF">
        <w:rPr>
          <w:sz w:val="22"/>
          <w:szCs w:val="22"/>
          <w:lang w:val="de-AT"/>
        </w:rPr>
        <w:t xml:space="preserve">Der Produktmix-Effekt von +2,2 Punkten spiegelt die </w:t>
      </w:r>
      <w:r w:rsidR="00795BC7" w:rsidRPr="00A577DF">
        <w:rPr>
          <w:sz w:val="22"/>
          <w:szCs w:val="22"/>
          <w:lang w:val="de-AT"/>
        </w:rPr>
        <w:t xml:space="preserve">Einführung von Jogger in diesem Quartal und </w:t>
      </w:r>
      <w:r w:rsidRPr="00A577DF">
        <w:rPr>
          <w:sz w:val="22"/>
          <w:szCs w:val="22"/>
          <w:lang w:val="de-AT"/>
        </w:rPr>
        <w:t>den Erfolg von Arkana wider, d</w:t>
      </w:r>
      <w:r w:rsidR="00895641">
        <w:rPr>
          <w:sz w:val="22"/>
          <w:szCs w:val="22"/>
          <w:lang w:val="de-AT"/>
        </w:rPr>
        <w:t>er</w:t>
      </w:r>
      <w:r w:rsidRPr="00A577DF">
        <w:rPr>
          <w:sz w:val="22"/>
          <w:szCs w:val="22"/>
          <w:lang w:val="de-AT"/>
        </w:rPr>
        <w:t xml:space="preserve"> im </w:t>
      </w:r>
      <w:r w:rsidR="007E0F0A" w:rsidRPr="00A577DF">
        <w:rPr>
          <w:sz w:val="22"/>
          <w:szCs w:val="22"/>
          <w:lang w:val="de-AT"/>
        </w:rPr>
        <w:t xml:space="preserve">zweiten </w:t>
      </w:r>
      <w:r w:rsidR="002453E0" w:rsidRPr="00A577DF">
        <w:rPr>
          <w:sz w:val="22"/>
          <w:szCs w:val="22"/>
          <w:lang w:val="de-AT"/>
        </w:rPr>
        <w:t xml:space="preserve">Quartal </w:t>
      </w:r>
      <w:r w:rsidRPr="00A577DF">
        <w:rPr>
          <w:sz w:val="22"/>
          <w:szCs w:val="22"/>
          <w:lang w:val="de-AT"/>
        </w:rPr>
        <w:t>2021 eingeführt wurde.</w:t>
      </w:r>
    </w:p>
    <w:p w14:paraId="0026185F" w14:textId="77777777" w:rsidR="00D26979" w:rsidRPr="00A577DF" w:rsidRDefault="008B6935">
      <w:pPr>
        <w:jc w:val="both"/>
        <w:rPr>
          <w:rFonts w:cs="Arial"/>
          <w:sz w:val="22"/>
          <w:szCs w:val="22"/>
          <w:lang w:val="de-AT"/>
        </w:rPr>
      </w:pPr>
      <w:r w:rsidRPr="00A577DF">
        <w:rPr>
          <w:color w:val="000000" w:themeColor="text1"/>
          <w:sz w:val="22"/>
          <w:szCs w:val="22"/>
          <w:lang w:val="de-AT"/>
        </w:rPr>
        <w:t xml:space="preserve">Der Einfluss der Verkäufe an Partner war mit -2,8 Punkten negativ.  </w:t>
      </w:r>
      <w:r w:rsidRPr="00A577DF">
        <w:rPr>
          <w:sz w:val="22"/>
          <w:szCs w:val="22"/>
          <w:lang w:val="de-AT"/>
        </w:rPr>
        <w:t xml:space="preserve">Dies ist hauptsächlich das Ergebnis des Rückgangs der Produktion von Dieselmotoren und Fahrzeugen für unsere Partner, </w:t>
      </w:r>
      <w:r w:rsidR="00106179" w:rsidRPr="00A577DF">
        <w:rPr>
          <w:sz w:val="22"/>
          <w:szCs w:val="22"/>
          <w:lang w:val="de-AT"/>
        </w:rPr>
        <w:t xml:space="preserve">insbesondere im </w:t>
      </w:r>
      <w:r w:rsidR="00805837" w:rsidRPr="00A577DF">
        <w:rPr>
          <w:sz w:val="22"/>
          <w:szCs w:val="22"/>
          <w:lang w:val="de-AT"/>
        </w:rPr>
        <w:t xml:space="preserve">Zusammenhang </w:t>
      </w:r>
      <w:r w:rsidRPr="00A577DF">
        <w:rPr>
          <w:sz w:val="22"/>
          <w:szCs w:val="22"/>
          <w:lang w:val="de-AT"/>
        </w:rPr>
        <w:t xml:space="preserve">mit dem Auslaufen des Master-Vertrags für Opel und des </w:t>
      </w:r>
      <w:proofErr w:type="spellStart"/>
      <w:r w:rsidRPr="00A577DF">
        <w:rPr>
          <w:sz w:val="22"/>
          <w:szCs w:val="22"/>
          <w:lang w:val="de-AT"/>
        </w:rPr>
        <w:t>Trafic</w:t>
      </w:r>
      <w:proofErr w:type="spellEnd"/>
      <w:r w:rsidRPr="00A577DF">
        <w:rPr>
          <w:sz w:val="22"/>
          <w:szCs w:val="22"/>
          <w:lang w:val="de-AT"/>
        </w:rPr>
        <w:t xml:space="preserve"> für Fiat </w:t>
      </w:r>
      <w:r w:rsidR="00FD0A2E" w:rsidRPr="00A577DF">
        <w:rPr>
          <w:sz w:val="22"/>
          <w:szCs w:val="22"/>
          <w:lang w:val="de-AT"/>
        </w:rPr>
        <w:t xml:space="preserve">Ende </w:t>
      </w:r>
      <w:r w:rsidR="00785009" w:rsidRPr="00A577DF">
        <w:rPr>
          <w:sz w:val="22"/>
          <w:szCs w:val="22"/>
          <w:lang w:val="de-AT"/>
        </w:rPr>
        <w:t>2021</w:t>
      </w:r>
      <w:r w:rsidR="00566E2E" w:rsidRPr="00A577DF">
        <w:rPr>
          <w:sz w:val="22"/>
          <w:szCs w:val="22"/>
          <w:lang w:val="de-AT"/>
        </w:rPr>
        <w:t xml:space="preserve">. </w:t>
      </w:r>
    </w:p>
    <w:p w14:paraId="50819C13" w14:textId="26A2E5BD" w:rsidR="00D26979" w:rsidRPr="00A577DF" w:rsidRDefault="008B6935">
      <w:pPr>
        <w:jc w:val="both"/>
        <w:rPr>
          <w:color w:val="000000" w:themeColor="text1"/>
          <w:sz w:val="22"/>
          <w:szCs w:val="22"/>
          <w:lang w:val="de-AT"/>
        </w:rPr>
      </w:pPr>
      <w:r w:rsidRPr="00A577DF">
        <w:rPr>
          <w:color w:val="000000" w:themeColor="text1"/>
          <w:sz w:val="22"/>
          <w:szCs w:val="22"/>
          <w:lang w:val="de-AT"/>
        </w:rPr>
        <w:t xml:space="preserve"> </w:t>
      </w:r>
      <w:r w:rsidR="00EC25C5">
        <w:rPr>
          <w:color w:val="000000" w:themeColor="text1"/>
          <w:sz w:val="22"/>
          <w:szCs w:val="22"/>
          <w:lang w:val="de-AT"/>
        </w:rPr>
        <w:t>„</w:t>
      </w:r>
      <w:r w:rsidR="005122C4">
        <w:rPr>
          <w:color w:val="000000" w:themeColor="text1"/>
          <w:sz w:val="22"/>
          <w:szCs w:val="22"/>
          <w:lang w:val="de-AT"/>
        </w:rPr>
        <w:t>Other</w:t>
      </w:r>
      <w:r w:rsidRPr="00A577DF">
        <w:rPr>
          <w:color w:val="000000" w:themeColor="text1"/>
          <w:sz w:val="22"/>
          <w:szCs w:val="22"/>
          <w:lang w:val="de-AT"/>
        </w:rPr>
        <w:t xml:space="preserve">" </w:t>
      </w:r>
      <w:r w:rsidR="005122C4">
        <w:rPr>
          <w:color w:val="000000" w:themeColor="text1"/>
          <w:sz w:val="22"/>
          <w:szCs w:val="22"/>
          <w:lang w:val="de-AT"/>
        </w:rPr>
        <w:t>zeigt</w:t>
      </w:r>
      <w:r w:rsidRPr="00A577DF">
        <w:rPr>
          <w:color w:val="000000" w:themeColor="text1"/>
          <w:sz w:val="22"/>
          <w:szCs w:val="22"/>
          <w:lang w:val="de-AT"/>
        </w:rPr>
        <w:t xml:space="preserve"> einen positiven </w:t>
      </w:r>
      <w:r w:rsidR="005122C4">
        <w:rPr>
          <w:color w:val="000000" w:themeColor="text1"/>
          <w:sz w:val="22"/>
          <w:szCs w:val="22"/>
          <w:lang w:val="de-AT"/>
        </w:rPr>
        <w:t>Effekt</w:t>
      </w:r>
      <w:r w:rsidRPr="00A577DF">
        <w:rPr>
          <w:color w:val="000000" w:themeColor="text1"/>
          <w:sz w:val="22"/>
          <w:szCs w:val="22"/>
          <w:lang w:val="de-AT"/>
        </w:rPr>
        <w:t xml:space="preserve"> von </w:t>
      </w:r>
      <w:r w:rsidR="005271D0" w:rsidRPr="00A577DF">
        <w:rPr>
          <w:color w:val="000000" w:themeColor="text1"/>
          <w:sz w:val="22"/>
          <w:szCs w:val="22"/>
          <w:lang w:val="de-AT"/>
        </w:rPr>
        <w:t xml:space="preserve">+3,4 </w:t>
      </w:r>
      <w:r w:rsidRPr="00A577DF">
        <w:rPr>
          <w:color w:val="000000" w:themeColor="text1"/>
          <w:sz w:val="22"/>
          <w:szCs w:val="22"/>
          <w:lang w:val="de-AT"/>
        </w:rPr>
        <w:t>Punkten</w:t>
      </w:r>
      <w:r w:rsidR="002542F9" w:rsidRPr="00A577DF">
        <w:rPr>
          <w:color w:val="000000" w:themeColor="text1"/>
          <w:sz w:val="22"/>
          <w:szCs w:val="22"/>
          <w:lang w:val="de-AT"/>
        </w:rPr>
        <w:t xml:space="preserve">, der insbesondere auf die Anpassung der Umsätze mit Rückkaufverpflichtung zurückzuführen ist, die im Vergleich zum </w:t>
      </w:r>
      <w:r w:rsidR="009B74C6">
        <w:rPr>
          <w:color w:val="000000" w:themeColor="text1"/>
          <w:sz w:val="22"/>
          <w:szCs w:val="22"/>
          <w:lang w:val="de-AT"/>
        </w:rPr>
        <w:t>ersten</w:t>
      </w:r>
      <w:r w:rsidR="002542F9" w:rsidRPr="00A577DF">
        <w:rPr>
          <w:color w:val="000000" w:themeColor="text1"/>
          <w:sz w:val="22"/>
          <w:szCs w:val="22"/>
          <w:lang w:val="de-AT"/>
        </w:rPr>
        <w:t xml:space="preserve"> Quartal 2021 </w:t>
      </w:r>
      <w:r w:rsidR="00974FA6" w:rsidRPr="00A577DF">
        <w:rPr>
          <w:color w:val="000000" w:themeColor="text1"/>
          <w:sz w:val="22"/>
          <w:szCs w:val="22"/>
          <w:lang w:val="de-AT"/>
        </w:rPr>
        <w:t xml:space="preserve">rückläufig sind </w:t>
      </w:r>
      <w:r w:rsidR="002542F9" w:rsidRPr="00A577DF">
        <w:rPr>
          <w:color w:val="000000" w:themeColor="text1"/>
          <w:sz w:val="22"/>
          <w:szCs w:val="22"/>
          <w:lang w:val="de-AT"/>
        </w:rPr>
        <w:t xml:space="preserve">und </w:t>
      </w:r>
      <w:r w:rsidR="00535424" w:rsidRPr="00A577DF">
        <w:rPr>
          <w:color w:val="000000" w:themeColor="text1"/>
          <w:sz w:val="22"/>
          <w:szCs w:val="22"/>
          <w:lang w:val="de-AT"/>
        </w:rPr>
        <w:t xml:space="preserve">durch die Leistung des Geschäftsbereichs Teile und Zubehör </w:t>
      </w:r>
      <w:r w:rsidR="00FB0A94" w:rsidRPr="00A577DF">
        <w:rPr>
          <w:color w:val="000000" w:themeColor="text1"/>
          <w:sz w:val="22"/>
          <w:szCs w:val="22"/>
          <w:lang w:val="de-AT"/>
        </w:rPr>
        <w:t xml:space="preserve">sowie der </w:t>
      </w:r>
      <w:r w:rsidR="00EF04FD" w:rsidRPr="00A577DF">
        <w:rPr>
          <w:color w:val="000000" w:themeColor="text1"/>
          <w:sz w:val="22"/>
          <w:szCs w:val="22"/>
          <w:lang w:val="de-AT"/>
        </w:rPr>
        <w:t xml:space="preserve">Renault </w:t>
      </w:r>
      <w:r w:rsidR="007E4977" w:rsidRPr="00A577DF">
        <w:rPr>
          <w:color w:val="000000" w:themeColor="text1"/>
          <w:sz w:val="22"/>
          <w:szCs w:val="22"/>
          <w:lang w:val="de-AT"/>
        </w:rPr>
        <w:t xml:space="preserve">Retail </w:t>
      </w:r>
      <w:r w:rsidR="00EF04FD" w:rsidRPr="00A577DF">
        <w:rPr>
          <w:color w:val="000000" w:themeColor="text1"/>
          <w:sz w:val="22"/>
          <w:szCs w:val="22"/>
          <w:lang w:val="de-AT"/>
        </w:rPr>
        <w:t xml:space="preserve">Group </w:t>
      </w:r>
      <w:r w:rsidR="002542F9" w:rsidRPr="00A577DF">
        <w:rPr>
          <w:color w:val="000000" w:themeColor="text1"/>
          <w:sz w:val="22"/>
          <w:szCs w:val="22"/>
          <w:lang w:val="de-AT"/>
        </w:rPr>
        <w:t xml:space="preserve">unterstützt werden. </w:t>
      </w:r>
    </w:p>
    <w:p w14:paraId="174D5B26" w14:textId="77777777" w:rsidR="00470AA0" w:rsidRPr="00A577DF" w:rsidRDefault="00470AA0" w:rsidP="00AB594C">
      <w:pPr>
        <w:ind w:right="-2"/>
        <w:contextualSpacing/>
        <w:jc w:val="both"/>
        <w:rPr>
          <w:color w:val="000000" w:themeColor="text1"/>
          <w:sz w:val="22"/>
          <w:szCs w:val="22"/>
          <w:lang w:val="de-AT"/>
        </w:rPr>
      </w:pPr>
    </w:p>
    <w:p w14:paraId="0DAE854B" w14:textId="480CA546" w:rsidR="00D26979" w:rsidRPr="00A577DF" w:rsidRDefault="008B6935">
      <w:pPr>
        <w:ind w:right="-2"/>
        <w:contextualSpacing/>
        <w:jc w:val="both"/>
        <w:rPr>
          <w:color w:val="000000" w:themeColor="text1"/>
          <w:sz w:val="22"/>
          <w:szCs w:val="22"/>
          <w:lang w:val="de-AT"/>
        </w:rPr>
      </w:pPr>
      <w:r w:rsidRPr="00A577DF">
        <w:rPr>
          <w:b/>
          <w:bCs/>
          <w:color w:val="000000" w:themeColor="text1"/>
          <w:sz w:val="22"/>
          <w:szCs w:val="22"/>
          <w:lang w:val="de-AT"/>
        </w:rPr>
        <w:t xml:space="preserve">Mobility Services </w:t>
      </w:r>
      <w:r w:rsidRPr="00A577DF">
        <w:rPr>
          <w:color w:val="000000" w:themeColor="text1"/>
          <w:sz w:val="22"/>
          <w:szCs w:val="22"/>
          <w:lang w:val="de-AT"/>
        </w:rPr>
        <w:t xml:space="preserve">trug 8 Millionen Euro zum Umsatz des </w:t>
      </w:r>
      <w:r w:rsidR="009B74C6">
        <w:rPr>
          <w:color w:val="000000" w:themeColor="text1"/>
          <w:sz w:val="22"/>
          <w:szCs w:val="22"/>
          <w:lang w:val="de-AT"/>
        </w:rPr>
        <w:t xml:space="preserve">ersten </w:t>
      </w:r>
      <w:r w:rsidR="00724393" w:rsidRPr="00A577DF">
        <w:rPr>
          <w:color w:val="000000" w:themeColor="text1"/>
          <w:sz w:val="22"/>
          <w:szCs w:val="22"/>
          <w:lang w:val="de-AT"/>
        </w:rPr>
        <w:t>Quartals</w:t>
      </w:r>
      <w:r w:rsidRPr="00A577DF">
        <w:rPr>
          <w:color w:val="000000" w:themeColor="text1"/>
          <w:sz w:val="22"/>
          <w:szCs w:val="22"/>
          <w:lang w:val="de-AT"/>
        </w:rPr>
        <w:t xml:space="preserve"> bei.   </w:t>
      </w:r>
    </w:p>
    <w:p w14:paraId="7B3C4278" w14:textId="77777777" w:rsidR="00470AA0" w:rsidRPr="00A577DF" w:rsidRDefault="00470AA0" w:rsidP="00AB594C">
      <w:pPr>
        <w:spacing w:before="0"/>
        <w:contextualSpacing/>
        <w:jc w:val="both"/>
        <w:rPr>
          <w:sz w:val="22"/>
          <w:szCs w:val="22"/>
          <w:lang w:val="de-AT"/>
        </w:rPr>
      </w:pPr>
    </w:p>
    <w:p w14:paraId="3E99C99B" w14:textId="77777777" w:rsidR="005C37CF" w:rsidRDefault="008B6935">
      <w:pPr>
        <w:pStyle w:val="StandardWeb"/>
        <w:spacing w:before="0" w:beforeAutospacing="0" w:after="0" w:afterAutospacing="0" w:line="288" w:lineRule="auto"/>
        <w:jc w:val="both"/>
        <w:rPr>
          <w:rFonts w:asciiTheme="minorHAnsi" w:eastAsiaTheme="minorHAnsi" w:hAnsiTheme="minorHAnsi" w:cstheme="minorBidi"/>
          <w:color w:val="000000" w:themeColor="text1"/>
          <w:sz w:val="22"/>
          <w:szCs w:val="22"/>
          <w:lang w:val="de-AT" w:eastAsia="en-US"/>
        </w:rPr>
      </w:pPr>
      <w:r w:rsidRPr="00A577DF">
        <w:rPr>
          <w:rFonts w:asciiTheme="minorHAnsi" w:eastAsiaTheme="minorHAnsi" w:hAnsiTheme="minorHAnsi" w:cstheme="minorBidi"/>
          <w:b/>
          <w:bCs/>
          <w:color w:val="000000" w:themeColor="text1"/>
          <w:sz w:val="22"/>
          <w:szCs w:val="22"/>
          <w:lang w:val="de-AT" w:eastAsia="en-US"/>
        </w:rPr>
        <w:t xml:space="preserve">Der Bereich Absatzfinanzierung </w:t>
      </w:r>
      <w:r w:rsidRPr="00A577DF">
        <w:rPr>
          <w:rFonts w:asciiTheme="minorHAnsi" w:eastAsiaTheme="minorHAnsi" w:hAnsiTheme="minorHAnsi" w:cstheme="minorBidi"/>
          <w:color w:val="000000" w:themeColor="text1"/>
          <w:sz w:val="22"/>
          <w:szCs w:val="22"/>
          <w:lang w:val="de-AT" w:eastAsia="en-US"/>
        </w:rPr>
        <w:t>(RCI Bank &amp; Services) verzeichnete im ersten Quartal einen Umsatz von 737 M</w:t>
      </w:r>
      <w:r w:rsidR="00C41F21">
        <w:rPr>
          <w:rFonts w:asciiTheme="minorHAnsi" w:eastAsiaTheme="minorHAnsi" w:hAnsiTheme="minorHAnsi" w:cstheme="minorBidi"/>
          <w:color w:val="000000" w:themeColor="text1"/>
          <w:sz w:val="22"/>
          <w:szCs w:val="22"/>
          <w:lang w:val="de-AT" w:eastAsia="en-US"/>
        </w:rPr>
        <w:t>illionen Euro</w:t>
      </w:r>
      <w:r w:rsidRPr="00A577DF">
        <w:rPr>
          <w:rFonts w:asciiTheme="minorHAnsi" w:eastAsiaTheme="minorHAnsi" w:hAnsiTheme="minorHAnsi" w:cstheme="minorBidi"/>
          <w:color w:val="000000" w:themeColor="text1"/>
          <w:sz w:val="22"/>
          <w:szCs w:val="22"/>
          <w:lang w:val="de-AT" w:eastAsia="en-US"/>
        </w:rPr>
        <w:t>, was einem Rückgang von -2,9 % gegenüber dem ersten Quartal 2021 entspricht</w:t>
      </w:r>
      <w:r w:rsidR="00EE01BD" w:rsidRPr="00A577DF">
        <w:rPr>
          <w:rFonts w:asciiTheme="minorHAnsi" w:eastAsiaTheme="minorHAnsi" w:hAnsiTheme="minorHAnsi" w:cstheme="minorBidi"/>
          <w:color w:val="000000" w:themeColor="text1"/>
          <w:sz w:val="22"/>
          <w:szCs w:val="22"/>
          <w:lang w:val="de-AT" w:eastAsia="en-US"/>
        </w:rPr>
        <w:t xml:space="preserve">, </w:t>
      </w:r>
      <w:r w:rsidR="004A1DCA" w:rsidRPr="00A577DF">
        <w:rPr>
          <w:rFonts w:asciiTheme="minorHAnsi" w:eastAsiaTheme="minorHAnsi" w:hAnsiTheme="minorHAnsi" w:cstheme="minorBidi"/>
          <w:color w:val="000000" w:themeColor="text1"/>
          <w:sz w:val="22"/>
          <w:szCs w:val="22"/>
          <w:lang w:val="de-AT" w:eastAsia="en-US"/>
        </w:rPr>
        <w:t xml:space="preserve">ebenso wie die </w:t>
      </w:r>
      <w:r w:rsidR="000A21E3" w:rsidRPr="00A577DF">
        <w:rPr>
          <w:rFonts w:asciiTheme="minorHAnsi" w:eastAsiaTheme="minorHAnsi" w:hAnsiTheme="minorHAnsi" w:cstheme="minorBidi"/>
          <w:color w:val="000000" w:themeColor="text1"/>
          <w:sz w:val="22"/>
          <w:szCs w:val="22"/>
          <w:lang w:val="de-AT" w:eastAsia="en-US"/>
        </w:rPr>
        <w:t xml:space="preserve">durchschnittlichen leistungsfähigen Aktiva </w:t>
      </w:r>
      <w:r w:rsidR="00EE01BD" w:rsidRPr="00A577DF">
        <w:rPr>
          <w:rFonts w:asciiTheme="minorHAnsi" w:eastAsiaTheme="minorHAnsi" w:hAnsiTheme="minorHAnsi" w:cstheme="minorBidi"/>
          <w:color w:val="000000" w:themeColor="text1"/>
          <w:sz w:val="22"/>
          <w:szCs w:val="22"/>
          <w:lang w:val="de-AT" w:eastAsia="en-US"/>
        </w:rPr>
        <w:t>(</w:t>
      </w:r>
      <w:r w:rsidR="000A21E3" w:rsidRPr="00A577DF">
        <w:rPr>
          <w:rFonts w:asciiTheme="minorHAnsi" w:eastAsiaTheme="minorHAnsi" w:hAnsiTheme="minorHAnsi" w:cstheme="minorBidi"/>
          <w:color w:val="000000" w:themeColor="text1"/>
          <w:sz w:val="22"/>
          <w:szCs w:val="22"/>
          <w:lang w:val="de-AT" w:eastAsia="en-US"/>
        </w:rPr>
        <w:t>43,7 M</w:t>
      </w:r>
      <w:r w:rsidR="00C41F21">
        <w:rPr>
          <w:rFonts w:asciiTheme="minorHAnsi" w:eastAsiaTheme="minorHAnsi" w:hAnsiTheme="minorHAnsi" w:cstheme="minorBidi"/>
          <w:color w:val="000000" w:themeColor="text1"/>
          <w:sz w:val="22"/>
          <w:szCs w:val="22"/>
          <w:lang w:val="de-AT" w:eastAsia="en-US"/>
        </w:rPr>
        <w:t>illiarden Euro</w:t>
      </w:r>
      <w:r w:rsidR="00EE01BD" w:rsidRPr="00A577DF">
        <w:rPr>
          <w:rFonts w:asciiTheme="minorHAnsi" w:eastAsiaTheme="minorHAnsi" w:hAnsiTheme="minorHAnsi" w:cstheme="minorBidi"/>
          <w:color w:val="000000" w:themeColor="text1"/>
          <w:sz w:val="22"/>
          <w:szCs w:val="22"/>
          <w:lang w:val="de-AT" w:eastAsia="en-US"/>
        </w:rPr>
        <w:t xml:space="preserve">), </w:t>
      </w:r>
      <w:r w:rsidR="00EC534C" w:rsidRPr="00A577DF">
        <w:rPr>
          <w:rFonts w:asciiTheme="minorHAnsi" w:eastAsiaTheme="minorHAnsi" w:hAnsiTheme="minorHAnsi" w:cstheme="minorBidi"/>
          <w:color w:val="000000" w:themeColor="text1"/>
          <w:sz w:val="22"/>
          <w:szCs w:val="22"/>
          <w:lang w:val="de-AT" w:eastAsia="en-US"/>
        </w:rPr>
        <w:t xml:space="preserve">die </w:t>
      </w:r>
      <w:r w:rsidR="00573B9D" w:rsidRPr="00A577DF">
        <w:rPr>
          <w:rFonts w:asciiTheme="minorHAnsi" w:eastAsiaTheme="minorHAnsi" w:hAnsiTheme="minorHAnsi" w:cstheme="minorBidi"/>
          <w:color w:val="000000" w:themeColor="text1"/>
          <w:sz w:val="22"/>
          <w:szCs w:val="22"/>
          <w:lang w:val="de-AT" w:eastAsia="en-US"/>
        </w:rPr>
        <w:t xml:space="preserve">um </w:t>
      </w:r>
    </w:p>
    <w:p w14:paraId="51CEE696" w14:textId="43F8E5EF" w:rsidR="00D26979" w:rsidRPr="00A577DF" w:rsidRDefault="00573B9D">
      <w:pPr>
        <w:pStyle w:val="StandardWeb"/>
        <w:spacing w:before="0" w:beforeAutospacing="0" w:after="0" w:afterAutospacing="0" w:line="288" w:lineRule="auto"/>
        <w:jc w:val="both"/>
        <w:rPr>
          <w:rFonts w:asciiTheme="minorHAnsi" w:eastAsiaTheme="minorHAnsi" w:hAnsiTheme="minorHAnsi" w:cstheme="minorBidi"/>
          <w:color w:val="000000" w:themeColor="text1"/>
          <w:sz w:val="22"/>
          <w:szCs w:val="22"/>
          <w:lang w:val="de-AT" w:eastAsia="en-US"/>
        </w:rPr>
      </w:pPr>
      <w:r w:rsidRPr="00A577DF">
        <w:rPr>
          <w:rFonts w:asciiTheme="minorHAnsi" w:eastAsiaTheme="minorHAnsi" w:hAnsiTheme="minorHAnsi" w:cstheme="minorBidi"/>
          <w:color w:val="000000" w:themeColor="text1"/>
          <w:sz w:val="22"/>
          <w:szCs w:val="22"/>
          <w:lang w:val="de-AT" w:eastAsia="en-US"/>
        </w:rPr>
        <w:t>-4</w:t>
      </w:r>
      <w:r w:rsidR="000A21E3" w:rsidRPr="00A577DF">
        <w:rPr>
          <w:rFonts w:asciiTheme="minorHAnsi" w:eastAsiaTheme="minorHAnsi" w:hAnsiTheme="minorHAnsi" w:cstheme="minorBidi"/>
          <w:color w:val="000000" w:themeColor="text1"/>
          <w:sz w:val="22"/>
          <w:szCs w:val="22"/>
          <w:lang w:val="de-AT" w:eastAsia="en-US"/>
        </w:rPr>
        <w:t xml:space="preserve">,7 % gegenüber </w:t>
      </w:r>
      <w:r w:rsidR="00106B90" w:rsidRPr="00A577DF">
        <w:rPr>
          <w:rFonts w:asciiTheme="minorHAnsi" w:eastAsiaTheme="minorHAnsi" w:hAnsiTheme="minorHAnsi" w:cstheme="minorBidi"/>
          <w:color w:val="000000" w:themeColor="text1"/>
          <w:sz w:val="22"/>
          <w:szCs w:val="22"/>
          <w:lang w:val="de-AT" w:eastAsia="en-US"/>
        </w:rPr>
        <w:t xml:space="preserve">dem gleichen Zeitraum </w:t>
      </w:r>
      <w:r w:rsidR="000A21E3" w:rsidRPr="00A577DF">
        <w:rPr>
          <w:rFonts w:asciiTheme="minorHAnsi" w:eastAsiaTheme="minorHAnsi" w:hAnsiTheme="minorHAnsi" w:cstheme="minorBidi"/>
          <w:color w:val="000000" w:themeColor="text1"/>
          <w:sz w:val="22"/>
          <w:szCs w:val="22"/>
          <w:lang w:val="de-AT" w:eastAsia="en-US"/>
        </w:rPr>
        <w:t xml:space="preserve">2021 </w:t>
      </w:r>
      <w:r w:rsidR="00C5688A" w:rsidRPr="00A577DF">
        <w:rPr>
          <w:rFonts w:asciiTheme="minorHAnsi" w:eastAsiaTheme="minorHAnsi" w:hAnsiTheme="minorHAnsi" w:cstheme="minorBidi"/>
          <w:color w:val="000000" w:themeColor="text1"/>
          <w:sz w:val="22"/>
          <w:szCs w:val="22"/>
          <w:lang w:val="de-AT" w:eastAsia="en-US"/>
        </w:rPr>
        <w:t>zurückgingen</w:t>
      </w:r>
      <w:r w:rsidR="000A21E3" w:rsidRPr="00A577DF">
        <w:rPr>
          <w:rFonts w:asciiTheme="minorHAnsi" w:eastAsiaTheme="minorHAnsi" w:hAnsiTheme="minorHAnsi" w:cstheme="minorBidi"/>
          <w:color w:val="000000" w:themeColor="text1"/>
          <w:sz w:val="22"/>
          <w:szCs w:val="22"/>
          <w:lang w:val="de-AT" w:eastAsia="en-US"/>
        </w:rPr>
        <w:t xml:space="preserve">.  </w:t>
      </w:r>
      <w:r w:rsidR="00EC534C" w:rsidRPr="00A577DF">
        <w:rPr>
          <w:rFonts w:asciiTheme="minorHAnsi" w:eastAsiaTheme="minorHAnsi" w:hAnsiTheme="minorHAnsi" w:cstheme="minorBidi"/>
          <w:color w:val="000000" w:themeColor="text1"/>
          <w:sz w:val="22"/>
          <w:szCs w:val="22"/>
          <w:lang w:val="de-AT" w:eastAsia="en-US"/>
        </w:rPr>
        <w:t xml:space="preserve">Dieser </w:t>
      </w:r>
      <w:r w:rsidR="00C5688A" w:rsidRPr="00A577DF">
        <w:rPr>
          <w:rFonts w:asciiTheme="minorHAnsi" w:eastAsiaTheme="minorHAnsi" w:hAnsiTheme="minorHAnsi" w:cstheme="minorBidi"/>
          <w:color w:val="000000" w:themeColor="text1"/>
          <w:sz w:val="22"/>
          <w:szCs w:val="22"/>
          <w:lang w:val="de-AT" w:eastAsia="en-US"/>
        </w:rPr>
        <w:t xml:space="preserve">Rückgang ist auf die </w:t>
      </w:r>
      <w:r w:rsidR="00106B90" w:rsidRPr="00A577DF">
        <w:rPr>
          <w:rFonts w:asciiTheme="minorHAnsi" w:eastAsiaTheme="minorHAnsi" w:hAnsiTheme="minorHAnsi" w:cstheme="minorBidi"/>
          <w:color w:val="000000" w:themeColor="text1"/>
          <w:sz w:val="22"/>
          <w:szCs w:val="22"/>
          <w:lang w:val="de-AT" w:eastAsia="en-US"/>
        </w:rPr>
        <w:t xml:space="preserve">Auswirkungen </w:t>
      </w:r>
      <w:r w:rsidR="00C5688A" w:rsidRPr="00A577DF">
        <w:rPr>
          <w:rFonts w:asciiTheme="minorHAnsi" w:eastAsiaTheme="minorHAnsi" w:hAnsiTheme="minorHAnsi" w:cstheme="minorBidi"/>
          <w:color w:val="000000" w:themeColor="text1"/>
          <w:sz w:val="22"/>
          <w:szCs w:val="22"/>
          <w:lang w:val="de-AT" w:eastAsia="en-US"/>
        </w:rPr>
        <w:t xml:space="preserve">der Strategie der </w:t>
      </w:r>
      <w:r w:rsidR="00106B90" w:rsidRPr="00A577DF">
        <w:rPr>
          <w:rFonts w:asciiTheme="minorHAnsi" w:eastAsiaTheme="minorHAnsi" w:hAnsiTheme="minorHAnsi" w:cstheme="minorBidi"/>
          <w:color w:val="000000" w:themeColor="text1"/>
          <w:sz w:val="22"/>
          <w:szCs w:val="22"/>
          <w:lang w:val="de-AT" w:eastAsia="en-US"/>
        </w:rPr>
        <w:t xml:space="preserve">Gruppe </w:t>
      </w:r>
      <w:r w:rsidR="008B6935" w:rsidRPr="00A577DF">
        <w:rPr>
          <w:rFonts w:asciiTheme="minorHAnsi" w:eastAsiaTheme="minorHAnsi" w:hAnsiTheme="minorHAnsi" w:cstheme="minorBidi"/>
          <w:color w:val="000000" w:themeColor="text1"/>
          <w:sz w:val="22"/>
          <w:szCs w:val="22"/>
          <w:lang w:val="de-AT" w:eastAsia="en-US"/>
        </w:rPr>
        <w:t xml:space="preserve">zur Optimierung der </w:t>
      </w:r>
      <w:r w:rsidR="00C5688A" w:rsidRPr="00A577DF">
        <w:rPr>
          <w:rFonts w:asciiTheme="minorHAnsi" w:eastAsiaTheme="minorHAnsi" w:hAnsiTheme="minorHAnsi" w:cstheme="minorBidi"/>
          <w:color w:val="000000" w:themeColor="text1"/>
          <w:sz w:val="22"/>
          <w:szCs w:val="22"/>
          <w:lang w:val="de-AT" w:eastAsia="en-US"/>
        </w:rPr>
        <w:t xml:space="preserve">Händlerbestände zurückzuführen. </w:t>
      </w:r>
    </w:p>
    <w:p w14:paraId="0970DF0A" w14:textId="77777777" w:rsidR="00D26979" w:rsidRPr="00A577DF" w:rsidRDefault="008B6935">
      <w:pPr>
        <w:pStyle w:val="StandardWeb"/>
        <w:spacing w:before="0" w:beforeAutospacing="0" w:after="0" w:afterAutospacing="0" w:line="288" w:lineRule="auto"/>
        <w:jc w:val="both"/>
        <w:rPr>
          <w:rFonts w:asciiTheme="minorHAnsi" w:eastAsiaTheme="minorHAnsi" w:hAnsiTheme="minorHAnsi" w:cstheme="minorBidi"/>
          <w:color w:val="000000" w:themeColor="text1"/>
          <w:sz w:val="22"/>
          <w:szCs w:val="22"/>
          <w:lang w:val="de-AT" w:eastAsia="en-US"/>
        </w:rPr>
      </w:pPr>
      <w:r w:rsidRPr="00A577DF">
        <w:rPr>
          <w:rFonts w:asciiTheme="minorHAnsi" w:eastAsiaTheme="minorHAnsi" w:hAnsiTheme="minorHAnsi" w:cstheme="minorBidi"/>
          <w:color w:val="000000" w:themeColor="text1"/>
          <w:sz w:val="22"/>
          <w:szCs w:val="22"/>
          <w:lang w:val="de-AT" w:eastAsia="en-US"/>
        </w:rPr>
        <w:t xml:space="preserve">Das Privatkundengeschäft verzeichnete einen Anstieg der Neufinanzierungen um 5,4 %. </w:t>
      </w:r>
      <w:r w:rsidR="00106B90" w:rsidRPr="00A577DF">
        <w:rPr>
          <w:rFonts w:asciiTheme="minorHAnsi" w:eastAsiaTheme="minorHAnsi" w:hAnsiTheme="minorHAnsi" w:cstheme="minorBidi"/>
          <w:color w:val="000000" w:themeColor="text1"/>
          <w:sz w:val="22"/>
          <w:szCs w:val="22"/>
          <w:lang w:val="de-AT" w:eastAsia="en-US"/>
        </w:rPr>
        <w:t xml:space="preserve">Die </w:t>
      </w:r>
      <w:r w:rsidR="008B26C4" w:rsidRPr="00A577DF">
        <w:rPr>
          <w:rFonts w:asciiTheme="minorHAnsi" w:eastAsiaTheme="minorHAnsi" w:hAnsiTheme="minorHAnsi" w:cstheme="minorBidi"/>
          <w:color w:val="000000" w:themeColor="text1"/>
          <w:sz w:val="22"/>
          <w:szCs w:val="22"/>
          <w:lang w:val="de-AT" w:eastAsia="en-US"/>
        </w:rPr>
        <w:t xml:space="preserve">durchschnittliche Finanzierungssumme für neue Verträge nimmt zu </w:t>
      </w:r>
      <w:r w:rsidR="00106B90" w:rsidRPr="00A577DF">
        <w:rPr>
          <w:rFonts w:asciiTheme="minorHAnsi" w:eastAsiaTheme="minorHAnsi" w:hAnsiTheme="minorHAnsi" w:cstheme="minorBidi"/>
          <w:color w:val="000000" w:themeColor="text1"/>
          <w:sz w:val="22"/>
          <w:szCs w:val="22"/>
          <w:lang w:val="de-AT" w:eastAsia="en-US"/>
        </w:rPr>
        <w:t xml:space="preserve">und </w:t>
      </w:r>
      <w:r w:rsidR="002E6153" w:rsidRPr="00A577DF">
        <w:rPr>
          <w:rFonts w:asciiTheme="minorHAnsi" w:eastAsiaTheme="minorHAnsi" w:hAnsiTheme="minorHAnsi" w:cstheme="minorBidi"/>
          <w:color w:val="000000" w:themeColor="text1"/>
          <w:sz w:val="22"/>
          <w:szCs w:val="22"/>
          <w:lang w:val="de-AT" w:eastAsia="en-US"/>
        </w:rPr>
        <w:t xml:space="preserve">gleicht den </w:t>
      </w:r>
      <w:r w:rsidRPr="00A577DF">
        <w:rPr>
          <w:rFonts w:asciiTheme="minorHAnsi" w:eastAsiaTheme="minorHAnsi" w:hAnsiTheme="minorHAnsi" w:cstheme="minorBidi"/>
          <w:color w:val="000000" w:themeColor="text1"/>
          <w:sz w:val="22"/>
          <w:szCs w:val="22"/>
          <w:lang w:val="de-AT" w:eastAsia="en-US"/>
        </w:rPr>
        <w:t xml:space="preserve">Rückgang </w:t>
      </w:r>
      <w:r w:rsidR="00E85853" w:rsidRPr="00A577DF">
        <w:rPr>
          <w:rFonts w:asciiTheme="minorHAnsi" w:eastAsiaTheme="minorHAnsi" w:hAnsiTheme="minorHAnsi" w:cstheme="minorBidi"/>
          <w:color w:val="000000" w:themeColor="text1"/>
          <w:sz w:val="22"/>
          <w:szCs w:val="22"/>
          <w:lang w:val="de-AT" w:eastAsia="en-US"/>
        </w:rPr>
        <w:t xml:space="preserve">der </w:t>
      </w:r>
      <w:r w:rsidR="00241200" w:rsidRPr="00A577DF">
        <w:rPr>
          <w:rFonts w:asciiTheme="minorHAnsi" w:eastAsiaTheme="minorHAnsi" w:hAnsiTheme="minorHAnsi" w:cstheme="minorBidi"/>
          <w:color w:val="000000" w:themeColor="text1"/>
          <w:sz w:val="22"/>
          <w:szCs w:val="22"/>
          <w:lang w:val="de-AT" w:eastAsia="en-US"/>
        </w:rPr>
        <w:t xml:space="preserve">Zahl der neuen Verträge </w:t>
      </w:r>
      <w:r w:rsidR="00695C79" w:rsidRPr="00A577DF">
        <w:rPr>
          <w:rFonts w:asciiTheme="minorHAnsi" w:eastAsiaTheme="minorHAnsi" w:hAnsiTheme="minorHAnsi" w:cstheme="minorBidi"/>
          <w:color w:val="000000" w:themeColor="text1"/>
          <w:sz w:val="22"/>
          <w:szCs w:val="22"/>
          <w:lang w:val="de-AT" w:eastAsia="en-US"/>
        </w:rPr>
        <w:t>um 9</w:t>
      </w:r>
      <w:r w:rsidR="00E85853" w:rsidRPr="00A577DF">
        <w:rPr>
          <w:rFonts w:asciiTheme="minorHAnsi" w:eastAsiaTheme="minorHAnsi" w:hAnsiTheme="minorHAnsi" w:cstheme="minorBidi"/>
          <w:color w:val="000000" w:themeColor="text1"/>
          <w:sz w:val="22"/>
          <w:szCs w:val="22"/>
          <w:lang w:val="de-AT" w:eastAsia="en-US"/>
        </w:rPr>
        <w:t xml:space="preserve">,7 %, </w:t>
      </w:r>
      <w:r w:rsidR="00305585" w:rsidRPr="00A577DF">
        <w:rPr>
          <w:rFonts w:asciiTheme="minorHAnsi" w:eastAsiaTheme="minorHAnsi" w:hAnsiTheme="minorHAnsi" w:cstheme="minorBidi"/>
          <w:color w:val="000000" w:themeColor="text1"/>
          <w:sz w:val="22"/>
          <w:szCs w:val="22"/>
          <w:lang w:val="de-AT" w:eastAsia="en-US"/>
        </w:rPr>
        <w:t xml:space="preserve">der auf </w:t>
      </w:r>
      <w:r w:rsidR="00241200" w:rsidRPr="00A577DF">
        <w:rPr>
          <w:rFonts w:asciiTheme="minorHAnsi" w:eastAsiaTheme="minorHAnsi" w:hAnsiTheme="minorHAnsi" w:cstheme="minorBidi"/>
          <w:color w:val="000000" w:themeColor="text1"/>
          <w:sz w:val="22"/>
          <w:szCs w:val="22"/>
          <w:lang w:val="de-AT" w:eastAsia="en-US"/>
        </w:rPr>
        <w:t xml:space="preserve">den </w:t>
      </w:r>
      <w:r w:rsidR="00EF24FD" w:rsidRPr="00A577DF">
        <w:rPr>
          <w:rFonts w:asciiTheme="minorHAnsi" w:eastAsiaTheme="minorHAnsi" w:hAnsiTheme="minorHAnsi" w:cstheme="minorBidi"/>
          <w:color w:val="000000" w:themeColor="text1"/>
          <w:sz w:val="22"/>
          <w:szCs w:val="22"/>
          <w:lang w:val="de-AT" w:eastAsia="en-US"/>
        </w:rPr>
        <w:t xml:space="preserve">Rückgang der </w:t>
      </w:r>
      <w:r w:rsidR="00241200" w:rsidRPr="00A577DF">
        <w:rPr>
          <w:rFonts w:asciiTheme="minorHAnsi" w:eastAsiaTheme="minorHAnsi" w:hAnsiTheme="minorHAnsi" w:cstheme="minorBidi"/>
          <w:color w:val="000000" w:themeColor="text1"/>
          <w:sz w:val="22"/>
          <w:szCs w:val="22"/>
          <w:lang w:val="de-AT" w:eastAsia="en-US"/>
        </w:rPr>
        <w:t xml:space="preserve">Zulassungen der Gruppe zurückzuführen ist, </w:t>
      </w:r>
      <w:r w:rsidR="00B962F7" w:rsidRPr="00A577DF">
        <w:rPr>
          <w:rFonts w:asciiTheme="minorHAnsi" w:eastAsiaTheme="minorHAnsi" w:hAnsiTheme="minorHAnsi" w:cstheme="minorBidi"/>
          <w:color w:val="000000" w:themeColor="text1"/>
          <w:sz w:val="22"/>
          <w:szCs w:val="22"/>
          <w:lang w:val="de-AT" w:eastAsia="en-US"/>
        </w:rPr>
        <w:t xml:space="preserve">teilweise </w:t>
      </w:r>
      <w:r w:rsidR="002E6153" w:rsidRPr="00A577DF">
        <w:rPr>
          <w:rFonts w:asciiTheme="minorHAnsi" w:eastAsiaTheme="minorHAnsi" w:hAnsiTheme="minorHAnsi" w:cstheme="minorBidi"/>
          <w:color w:val="000000" w:themeColor="text1"/>
          <w:sz w:val="22"/>
          <w:szCs w:val="22"/>
          <w:lang w:val="de-AT" w:eastAsia="en-US"/>
        </w:rPr>
        <w:t>aus</w:t>
      </w:r>
      <w:r w:rsidR="00241200" w:rsidRPr="00A577DF">
        <w:rPr>
          <w:rFonts w:asciiTheme="minorHAnsi" w:eastAsiaTheme="minorHAnsi" w:hAnsiTheme="minorHAnsi" w:cstheme="minorBidi"/>
          <w:color w:val="000000" w:themeColor="text1"/>
          <w:sz w:val="22"/>
          <w:szCs w:val="22"/>
          <w:lang w:val="de-AT" w:eastAsia="en-US"/>
        </w:rPr>
        <w:t xml:space="preserve">. </w:t>
      </w:r>
    </w:p>
    <w:p w14:paraId="4A292E3E" w14:textId="77777777" w:rsidR="00241200" w:rsidRPr="00A577DF" w:rsidRDefault="00241200" w:rsidP="00AB594C">
      <w:pPr>
        <w:spacing w:before="0"/>
        <w:contextualSpacing/>
        <w:jc w:val="both"/>
        <w:rPr>
          <w:sz w:val="22"/>
          <w:szCs w:val="22"/>
          <w:lang w:val="de-AT"/>
        </w:rPr>
      </w:pPr>
    </w:p>
    <w:p w14:paraId="28DFCF6D" w14:textId="15E8DCA4" w:rsidR="00D26979" w:rsidRPr="00A577DF" w:rsidRDefault="008B6935">
      <w:pPr>
        <w:spacing w:before="0"/>
        <w:contextualSpacing/>
        <w:jc w:val="both"/>
        <w:rPr>
          <w:sz w:val="22"/>
          <w:szCs w:val="22"/>
          <w:lang w:val="de-AT"/>
        </w:rPr>
      </w:pPr>
      <w:r w:rsidRPr="00A577DF">
        <w:rPr>
          <w:sz w:val="22"/>
          <w:szCs w:val="22"/>
          <w:lang w:val="de-AT"/>
        </w:rPr>
        <w:t xml:space="preserve">Zum </w:t>
      </w:r>
      <w:r w:rsidR="00013B12" w:rsidRPr="00A577DF">
        <w:rPr>
          <w:sz w:val="22"/>
          <w:szCs w:val="22"/>
          <w:lang w:val="de-AT"/>
        </w:rPr>
        <w:t xml:space="preserve">31. März 2022 </w:t>
      </w:r>
      <w:r w:rsidRPr="00A577DF">
        <w:rPr>
          <w:sz w:val="22"/>
          <w:szCs w:val="22"/>
          <w:lang w:val="de-AT"/>
        </w:rPr>
        <w:t xml:space="preserve">beliefen sich die </w:t>
      </w:r>
      <w:r w:rsidRPr="00A577DF">
        <w:rPr>
          <w:b/>
          <w:sz w:val="22"/>
          <w:szCs w:val="22"/>
          <w:lang w:val="de-AT"/>
        </w:rPr>
        <w:t>Gesamt</w:t>
      </w:r>
      <w:r w:rsidR="00F03FBF">
        <w:rPr>
          <w:b/>
          <w:sz w:val="22"/>
          <w:szCs w:val="22"/>
          <w:lang w:val="de-AT"/>
        </w:rPr>
        <w:t>lagerbestände</w:t>
      </w:r>
      <w:r w:rsidRPr="00A577DF">
        <w:rPr>
          <w:b/>
          <w:sz w:val="22"/>
          <w:szCs w:val="22"/>
          <w:lang w:val="de-AT"/>
        </w:rPr>
        <w:t xml:space="preserve"> </w:t>
      </w:r>
      <w:r w:rsidRPr="00A577DF">
        <w:rPr>
          <w:sz w:val="22"/>
          <w:szCs w:val="22"/>
          <w:lang w:val="de-AT"/>
        </w:rPr>
        <w:t xml:space="preserve">(einschließlich des unabhängigen Netzwerks) auf </w:t>
      </w:r>
      <w:r w:rsidR="00647E44" w:rsidRPr="00A577DF">
        <w:rPr>
          <w:sz w:val="22"/>
          <w:szCs w:val="22"/>
          <w:lang w:val="de-AT"/>
        </w:rPr>
        <w:t xml:space="preserve">336.000 </w:t>
      </w:r>
      <w:r w:rsidRPr="00A577DF">
        <w:rPr>
          <w:sz w:val="22"/>
          <w:szCs w:val="22"/>
          <w:lang w:val="de-AT"/>
        </w:rPr>
        <w:t xml:space="preserve">Fahrzeuge </w:t>
      </w:r>
      <w:r w:rsidR="007824F8" w:rsidRPr="00A577DF">
        <w:rPr>
          <w:sz w:val="22"/>
          <w:szCs w:val="22"/>
          <w:lang w:val="de-AT"/>
        </w:rPr>
        <w:t>(</w:t>
      </w:r>
      <w:r w:rsidR="00AE1CA7">
        <w:rPr>
          <w:sz w:val="22"/>
          <w:szCs w:val="22"/>
          <w:lang w:val="de-AT"/>
        </w:rPr>
        <w:t xml:space="preserve">entspricht den Verkäufen der letzten </w:t>
      </w:r>
      <w:r w:rsidR="007824F8" w:rsidRPr="00A577DF">
        <w:rPr>
          <w:sz w:val="22"/>
          <w:szCs w:val="22"/>
          <w:lang w:val="de-AT"/>
        </w:rPr>
        <w:t xml:space="preserve">63 Tage), </w:t>
      </w:r>
      <w:r w:rsidRPr="00A577DF">
        <w:rPr>
          <w:sz w:val="22"/>
          <w:szCs w:val="22"/>
          <w:lang w:val="de-AT"/>
        </w:rPr>
        <w:t xml:space="preserve">verglichen mit </w:t>
      </w:r>
      <w:r w:rsidR="004F4F4E" w:rsidRPr="00A577DF">
        <w:rPr>
          <w:sz w:val="22"/>
          <w:szCs w:val="22"/>
          <w:lang w:val="de-AT"/>
        </w:rPr>
        <w:t xml:space="preserve">487.000 </w:t>
      </w:r>
      <w:r w:rsidR="008B5AE2" w:rsidRPr="00A577DF">
        <w:rPr>
          <w:sz w:val="22"/>
          <w:szCs w:val="22"/>
          <w:lang w:val="de-AT"/>
        </w:rPr>
        <w:t xml:space="preserve">Fahrzeugen </w:t>
      </w:r>
      <w:r w:rsidRPr="00A577DF">
        <w:rPr>
          <w:sz w:val="22"/>
          <w:szCs w:val="22"/>
          <w:lang w:val="de-AT"/>
        </w:rPr>
        <w:t xml:space="preserve">Ende </w:t>
      </w:r>
      <w:r w:rsidR="00013B12" w:rsidRPr="00A577DF">
        <w:rPr>
          <w:sz w:val="22"/>
          <w:szCs w:val="22"/>
          <w:lang w:val="de-AT"/>
        </w:rPr>
        <w:t xml:space="preserve">März </w:t>
      </w:r>
      <w:r w:rsidRPr="00A577DF">
        <w:rPr>
          <w:sz w:val="22"/>
          <w:szCs w:val="22"/>
          <w:lang w:val="de-AT"/>
        </w:rPr>
        <w:t xml:space="preserve">2021 </w:t>
      </w:r>
      <w:r w:rsidR="00324F5D" w:rsidRPr="00A577DF">
        <w:rPr>
          <w:sz w:val="22"/>
          <w:szCs w:val="22"/>
          <w:lang w:val="de-AT"/>
        </w:rPr>
        <w:t xml:space="preserve">und </w:t>
      </w:r>
      <w:r w:rsidR="00CF496B" w:rsidRPr="00A577DF">
        <w:rPr>
          <w:sz w:val="22"/>
          <w:szCs w:val="22"/>
          <w:lang w:val="de-AT"/>
        </w:rPr>
        <w:t xml:space="preserve">sind </w:t>
      </w:r>
      <w:r w:rsidR="00324F5D" w:rsidRPr="00A577DF">
        <w:rPr>
          <w:sz w:val="22"/>
          <w:szCs w:val="22"/>
          <w:lang w:val="de-AT"/>
        </w:rPr>
        <w:t>im Vergleich zum 31. Dezember 2021 stabil</w:t>
      </w:r>
      <w:r w:rsidR="007824F8" w:rsidRPr="00A577DF">
        <w:rPr>
          <w:sz w:val="22"/>
          <w:szCs w:val="22"/>
          <w:lang w:val="de-AT"/>
        </w:rPr>
        <w:t>.</w:t>
      </w:r>
    </w:p>
    <w:p w14:paraId="2D254657" w14:textId="77777777" w:rsidR="00D26979" w:rsidRPr="00A577DF" w:rsidRDefault="008B6935">
      <w:pPr>
        <w:keepNext/>
        <w:spacing w:before="360" w:after="120" w:line="240" w:lineRule="auto"/>
        <w:jc w:val="both"/>
        <w:outlineLvl w:val="0"/>
        <w:rPr>
          <w:rFonts w:ascii="Renault Group" w:eastAsia="Renault Group" w:hAnsi="Renault Group" w:cs="Times New Roman"/>
          <w:color w:val="988C7F"/>
          <w:sz w:val="32"/>
          <w:szCs w:val="32"/>
          <w:lang w:val="de-AT"/>
        </w:rPr>
      </w:pPr>
      <w:r w:rsidRPr="00A577DF">
        <w:rPr>
          <w:color w:val="988C7F"/>
          <w:sz w:val="32"/>
          <w:szCs w:val="32"/>
          <w:lang w:val="de-AT"/>
        </w:rPr>
        <w:t xml:space="preserve">Perspektiven &amp; Strategie </w:t>
      </w:r>
    </w:p>
    <w:p w14:paraId="0A0844DC" w14:textId="77777777" w:rsidR="00D26979" w:rsidRPr="00A577DF" w:rsidRDefault="008B6935">
      <w:pPr>
        <w:pStyle w:val="RGPuce1"/>
        <w:numPr>
          <w:ilvl w:val="0"/>
          <w:numId w:val="0"/>
        </w:numPr>
        <w:jc w:val="both"/>
        <w:rPr>
          <w:sz w:val="22"/>
          <w:szCs w:val="22"/>
          <w:lang w:val="de-AT"/>
        </w:rPr>
      </w:pPr>
      <w:r w:rsidRPr="00A577DF">
        <w:rPr>
          <w:sz w:val="22"/>
          <w:szCs w:val="22"/>
          <w:lang w:val="de-AT"/>
        </w:rPr>
        <w:t xml:space="preserve">Am 23. März 2022 gab die </w:t>
      </w:r>
      <w:r w:rsidR="00184DEF" w:rsidRPr="00A577DF">
        <w:rPr>
          <w:sz w:val="22"/>
          <w:szCs w:val="22"/>
          <w:lang w:val="de-AT"/>
        </w:rPr>
        <w:t xml:space="preserve">Renault-Gruppe </w:t>
      </w:r>
      <w:r w:rsidRPr="00A577DF">
        <w:rPr>
          <w:sz w:val="22"/>
          <w:szCs w:val="22"/>
          <w:lang w:val="de-AT"/>
        </w:rPr>
        <w:t>bekannt</w:t>
      </w:r>
      <w:r w:rsidR="00484ED6" w:rsidRPr="00A577DF">
        <w:rPr>
          <w:sz w:val="22"/>
          <w:szCs w:val="22"/>
          <w:lang w:val="de-AT"/>
        </w:rPr>
        <w:t>:</w:t>
      </w:r>
    </w:p>
    <w:p w14:paraId="7A4669CF" w14:textId="77777777" w:rsidR="00D26979" w:rsidRPr="00A577DF" w:rsidRDefault="008B6935">
      <w:pPr>
        <w:pStyle w:val="RGPuce1"/>
        <w:numPr>
          <w:ilvl w:val="0"/>
          <w:numId w:val="43"/>
        </w:numPr>
        <w:jc w:val="both"/>
        <w:rPr>
          <w:sz w:val="22"/>
          <w:szCs w:val="22"/>
          <w:lang w:val="de-AT"/>
        </w:rPr>
      </w:pPr>
      <w:r w:rsidRPr="00A577DF">
        <w:rPr>
          <w:sz w:val="22"/>
          <w:szCs w:val="22"/>
          <w:lang w:val="de-AT"/>
        </w:rPr>
        <w:t xml:space="preserve">die Aussetzung der </w:t>
      </w:r>
      <w:r w:rsidR="005F76C2" w:rsidRPr="00A577DF">
        <w:rPr>
          <w:sz w:val="22"/>
          <w:szCs w:val="22"/>
          <w:lang w:val="de-AT"/>
        </w:rPr>
        <w:t xml:space="preserve">Aktivitäten in seinem Produktionswerk in Moskau </w:t>
      </w:r>
      <w:r w:rsidRPr="00A577DF">
        <w:rPr>
          <w:sz w:val="22"/>
          <w:szCs w:val="22"/>
          <w:lang w:val="de-AT"/>
        </w:rPr>
        <w:t xml:space="preserve">und die </w:t>
      </w:r>
      <w:r w:rsidR="00046A02" w:rsidRPr="00A577DF">
        <w:rPr>
          <w:sz w:val="22"/>
          <w:szCs w:val="22"/>
          <w:lang w:val="de-AT"/>
        </w:rPr>
        <w:t xml:space="preserve">Bewertung der </w:t>
      </w:r>
      <w:r w:rsidR="00EE1874" w:rsidRPr="00A577DF">
        <w:rPr>
          <w:sz w:val="22"/>
          <w:szCs w:val="22"/>
          <w:lang w:val="de-AT"/>
        </w:rPr>
        <w:t xml:space="preserve">verfügbaren </w:t>
      </w:r>
      <w:r w:rsidRPr="00A577DF">
        <w:rPr>
          <w:sz w:val="22"/>
          <w:szCs w:val="22"/>
          <w:lang w:val="de-AT"/>
        </w:rPr>
        <w:t xml:space="preserve">Optionen in Bezug auf seine Beteiligung an AVTOVAZ </w:t>
      </w:r>
      <w:r w:rsidR="006F2780" w:rsidRPr="00A577DF">
        <w:rPr>
          <w:sz w:val="22"/>
          <w:szCs w:val="22"/>
          <w:lang w:val="de-AT"/>
        </w:rPr>
        <w:t>bei gleichzeitigem verantwortungsvollem Handeln gegenüber seinen 45.000 Mitarbeitern in Russland</w:t>
      </w:r>
      <w:r w:rsidR="00484ED6" w:rsidRPr="00A577DF">
        <w:rPr>
          <w:sz w:val="22"/>
          <w:szCs w:val="22"/>
          <w:lang w:val="de-AT"/>
        </w:rPr>
        <w:t>,</w:t>
      </w:r>
    </w:p>
    <w:p w14:paraId="7A562BBF" w14:textId="54D921C2" w:rsidR="00D26979" w:rsidRPr="00A577DF" w:rsidRDefault="008B6935">
      <w:pPr>
        <w:pStyle w:val="RGPuce1"/>
        <w:numPr>
          <w:ilvl w:val="0"/>
          <w:numId w:val="43"/>
        </w:numPr>
        <w:jc w:val="both"/>
        <w:rPr>
          <w:sz w:val="22"/>
          <w:szCs w:val="22"/>
          <w:lang w:val="de-AT"/>
        </w:rPr>
      </w:pPr>
      <w:r w:rsidRPr="00A577DF">
        <w:rPr>
          <w:sz w:val="22"/>
          <w:szCs w:val="22"/>
          <w:lang w:val="de-AT"/>
        </w:rPr>
        <w:t xml:space="preserve"> die Aktualisierung de</w:t>
      </w:r>
      <w:r w:rsidR="00F716A6">
        <w:rPr>
          <w:sz w:val="22"/>
          <w:szCs w:val="22"/>
          <w:lang w:val="de-AT"/>
        </w:rPr>
        <w:t>s</w:t>
      </w:r>
      <w:r w:rsidRPr="00A577DF">
        <w:rPr>
          <w:sz w:val="22"/>
          <w:szCs w:val="22"/>
          <w:lang w:val="de-AT"/>
        </w:rPr>
        <w:t xml:space="preserve"> </w:t>
      </w:r>
      <w:r w:rsidR="00FB3CC5" w:rsidRPr="00A577DF">
        <w:rPr>
          <w:sz w:val="22"/>
          <w:szCs w:val="22"/>
          <w:lang w:val="de-AT"/>
        </w:rPr>
        <w:t xml:space="preserve">finanziellen </w:t>
      </w:r>
      <w:r w:rsidR="00F716A6">
        <w:rPr>
          <w:sz w:val="22"/>
          <w:szCs w:val="22"/>
          <w:lang w:val="de-AT"/>
        </w:rPr>
        <w:t>Outlooks</w:t>
      </w:r>
      <w:r w:rsidR="006126A3" w:rsidRPr="00A577DF">
        <w:rPr>
          <w:sz w:val="22"/>
          <w:szCs w:val="22"/>
          <w:lang w:val="de-AT"/>
        </w:rPr>
        <w:t xml:space="preserve"> </w:t>
      </w:r>
      <w:r w:rsidR="00FB3CC5" w:rsidRPr="00A577DF">
        <w:rPr>
          <w:sz w:val="22"/>
          <w:szCs w:val="22"/>
          <w:lang w:val="de-AT"/>
        </w:rPr>
        <w:t xml:space="preserve">für 2022 </w:t>
      </w:r>
      <w:r w:rsidR="00734603" w:rsidRPr="00A577DF">
        <w:rPr>
          <w:sz w:val="22"/>
          <w:szCs w:val="22"/>
          <w:lang w:val="de-AT"/>
        </w:rPr>
        <w:t xml:space="preserve">als Ergebnis dieser </w:t>
      </w:r>
      <w:r w:rsidR="00992D7D" w:rsidRPr="00A577DF">
        <w:rPr>
          <w:sz w:val="22"/>
          <w:szCs w:val="22"/>
          <w:lang w:val="de-AT"/>
        </w:rPr>
        <w:t>Entscheidungen</w:t>
      </w:r>
      <w:r w:rsidR="002410EB" w:rsidRPr="00A577DF">
        <w:rPr>
          <w:sz w:val="22"/>
          <w:szCs w:val="22"/>
          <w:lang w:val="de-AT"/>
        </w:rPr>
        <w:t xml:space="preserve">: </w:t>
      </w:r>
    </w:p>
    <w:p w14:paraId="56D940D6" w14:textId="77777777" w:rsidR="00D26979" w:rsidRPr="00A577DF" w:rsidRDefault="008B6935">
      <w:pPr>
        <w:pStyle w:val="Listenabsatz"/>
        <w:numPr>
          <w:ilvl w:val="1"/>
          <w:numId w:val="43"/>
        </w:numPr>
        <w:shd w:val="clear" w:color="auto" w:fill="FFFFFF"/>
        <w:spacing w:before="100" w:beforeAutospacing="1" w:after="100" w:afterAutospacing="1"/>
        <w:jc w:val="both"/>
        <w:rPr>
          <w:sz w:val="22"/>
          <w:szCs w:val="22"/>
          <w:lang w:val="de-AT"/>
        </w:rPr>
      </w:pPr>
      <w:r w:rsidRPr="00A577DF">
        <w:rPr>
          <w:sz w:val="22"/>
          <w:szCs w:val="22"/>
          <w:lang w:val="de-AT"/>
        </w:rPr>
        <w:t>eine operative Marge der Gruppe von rund 3 %</w:t>
      </w:r>
      <w:r w:rsidR="0089255C" w:rsidRPr="00A577DF">
        <w:rPr>
          <w:sz w:val="22"/>
          <w:szCs w:val="22"/>
          <w:lang w:val="de-AT"/>
        </w:rPr>
        <w:t>;</w:t>
      </w:r>
    </w:p>
    <w:p w14:paraId="679934B8" w14:textId="3226378E" w:rsidR="00D26979" w:rsidRPr="00A577DF" w:rsidRDefault="008B6935">
      <w:pPr>
        <w:pStyle w:val="Listenabsatz"/>
        <w:numPr>
          <w:ilvl w:val="1"/>
          <w:numId w:val="43"/>
        </w:numPr>
        <w:shd w:val="clear" w:color="auto" w:fill="FFFFFF"/>
        <w:spacing w:before="100" w:beforeAutospacing="1" w:after="100" w:afterAutospacing="1"/>
        <w:jc w:val="both"/>
        <w:rPr>
          <w:sz w:val="22"/>
          <w:szCs w:val="22"/>
          <w:lang w:val="de-AT"/>
        </w:rPr>
      </w:pPr>
      <w:r w:rsidRPr="00A577DF">
        <w:rPr>
          <w:sz w:val="22"/>
          <w:szCs w:val="22"/>
          <w:lang w:val="de-AT"/>
        </w:rPr>
        <w:lastRenderedPageBreak/>
        <w:t xml:space="preserve">einen positiven </w:t>
      </w:r>
      <w:r w:rsidR="006B0621" w:rsidRPr="00A577DF">
        <w:rPr>
          <w:sz w:val="22"/>
          <w:szCs w:val="22"/>
          <w:lang w:val="de-AT"/>
        </w:rPr>
        <w:t xml:space="preserve">operativen </w:t>
      </w:r>
      <w:r w:rsidR="00F716A6">
        <w:rPr>
          <w:sz w:val="22"/>
          <w:szCs w:val="22"/>
          <w:lang w:val="de-AT"/>
        </w:rPr>
        <w:t>Free</w:t>
      </w:r>
      <w:r w:rsidRPr="00A577DF">
        <w:rPr>
          <w:sz w:val="22"/>
          <w:szCs w:val="22"/>
          <w:lang w:val="de-AT"/>
        </w:rPr>
        <w:t xml:space="preserve"> Cashflow im Automobilbereich</w:t>
      </w:r>
      <w:r w:rsidRPr="00A577DF">
        <w:rPr>
          <w:lang w:val="de-AT"/>
        </w:rPr>
        <w:t>.</w:t>
      </w:r>
    </w:p>
    <w:p w14:paraId="7B887505" w14:textId="08110A75" w:rsidR="00D26979" w:rsidRPr="00A577DF" w:rsidRDefault="008B6935">
      <w:pPr>
        <w:spacing w:before="0"/>
        <w:jc w:val="both"/>
        <w:rPr>
          <w:sz w:val="22"/>
          <w:szCs w:val="22"/>
          <w:lang w:val="de-AT"/>
        </w:rPr>
      </w:pPr>
      <w:r w:rsidRPr="00A577DF">
        <w:rPr>
          <w:sz w:val="22"/>
          <w:szCs w:val="22"/>
          <w:lang w:val="de-AT"/>
        </w:rPr>
        <w:t xml:space="preserve">Das Marktumfeld wird </w:t>
      </w:r>
      <w:r w:rsidR="00D756EF" w:rsidRPr="00A577DF">
        <w:rPr>
          <w:sz w:val="22"/>
          <w:szCs w:val="22"/>
          <w:lang w:val="de-AT"/>
        </w:rPr>
        <w:t xml:space="preserve">weiterhin </w:t>
      </w:r>
      <w:r w:rsidRPr="00A577DF">
        <w:rPr>
          <w:sz w:val="22"/>
          <w:szCs w:val="22"/>
          <w:lang w:val="de-AT"/>
        </w:rPr>
        <w:t>durch die Halbleiterkrise beeinträchtigt</w:t>
      </w:r>
      <w:r w:rsidR="00D756EF" w:rsidRPr="00A577DF">
        <w:rPr>
          <w:sz w:val="22"/>
          <w:szCs w:val="22"/>
          <w:lang w:val="de-AT"/>
        </w:rPr>
        <w:t>. Die Gruppe bestätigt einen Produktionsverlust von schätzungsweise 300.000 Fahrzeugen im Jahr 2022</w:t>
      </w:r>
      <w:r w:rsidR="00A53822" w:rsidRPr="00A577DF">
        <w:rPr>
          <w:sz w:val="22"/>
          <w:szCs w:val="22"/>
          <w:lang w:val="de-AT"/>
        </w:rPr>
        <w:t xml:space="preserve">, </w:t>
      </w:r>
      <w:r w:rsidR="00D756EF" w:rsidRPr="00A577DF">
        <w:rPr>
          <w:sz w:val="22"/>
          <w:szCs w:val="22"/>
          <w:lang w:val="de-AT"/>
        </w:rPr>
        <w:t xml:space="preserve">hauptsächlich </w:t>
      </w:r>
      <w:r w:rsidRPr="00A577DF">
        <w:rPr>
          <w:sz w:val="22"/>
          <w:szCs w:val="22"/>
          <w:lang w:val="de-AT"/>
        </w:rPr>
        <w:t xml:space="preserve">in der </w:t>
      </w:r>
      <w:r w:rsidR="00F716A6">
        <w:rPr>
          <w:sz w:val="22"/>
          <w:szCs w:val="22"/>
          <w:lang w:val="de-AT"/>
        </w:rPr>
        <w:t xml:space="preserve">ersten </w:t>
      </w:r>
      <w:r w:rsidRPr="00A577DF">
        <w:rPr>
          <w:sz w:val="22"/>
          <w:szCs w:val="22"/>
          <w:lang w:val="de-AT"/>
        </w:rPr>
        <w:t>Jahreshälfte.</w:t>
      </w:r>
    </w:p>
    <w:p w14:paraId="3CFE3C86" w14:textId="77777777" w:rsidR="00FA549A" w:rsidRPr="00A577DF" w:rsidRDefault="00FA549A" w:rsidP="00AB594C">
      <w:pPr>
        <w:spacing w:before="0"/>
        <w:jc w:val="both"/>
        <w:rPr>
          <w:sz w:val="22"/>
          <w:szCs w:val="22"/>
          <w:lang w:val="de-AT"/>
        </w:rPr>
      </w:pPr>
    </w:p>
    <w:p w14:paraId="0064B654" w14:textId="77777777" w:rsidR="00D26979" w:rsidRPr="00A577DF" w:rsidRDefault="008B6935">
      <w:pPr>
        <w:spacing w:before="0"/>
        <w:jc w:val="both"/>
        <w:rPr>
          <w:sz w:val="22"/>
          <w:szCs w:val="22"/>
          <w:lang w:val="de-AT"/>
        </w:rPr>
      </w:pPr>
      <w:r w:rsidRPr="00A577DF">
        <w:rPr>
          <w:sz w:val="22"/>
          <w:szCs w:val="22"/>
          <w:lang w:val="de-AT"/>
        </w:rPr>
        <w:t xml:space="preserve">Vor dem Hintergrund einer </w:t>
      </w:r>
      <w:r w:rsidR="00787793" w:rsidRPr="00A577DF">
        <w:rPr>
          <w:sz w:val="22"/>
          <w:szCs w:val="22"/>
          <w:lang w:val="de-AT"/>
        </w:rPr>
        <w:t xml:space="preserve">starken </w:t>
      </w:r>
      <w:r w:rsidRPr="00A577DF">
        <w:rPr>
          <w:sz w:val="22"/>
          <w:szCs w:val="22"/>
          <w:lang w:val="de-AT"/>
        </w:rPr>
        <w:t xml:space="preserve">Kosteninflation setzt die Gruppe ihre </w:t>
      </w:r>
      <w:r w:rsidR="003616BA" w:rsidRPr="00A577DF">
        <w:rPr>
          <w:sz w:val="22"/>
          <w:szCs w:val="22"/>
          <w:lang w:val="de-AT"/>
        </w:rPr>
        <w:t xml:space="preserve">wertorientierte </w:t>
      </w:r>
      <w:r w:rsidRPr="00A577DF">
        <w:rPr>
          <w:sz w:val="22"/>
          <w:szCs w:val="22"/>
          <w:lang w:val="de-AT"/>
        </w:rPr>
        <w:t xml:space="preserve">Geschäftspolitik fort und stärkt ihre Wettbewerbsfähigkeit durch </w:t>
      </w:r>
      <w:r w:rsidR="00A8042D" w:rsidRPr="00A577DF">
        <w:rPr>
          <w:sz w:val="22"/>
          <w:szCs w:val="22"/>
          <w:lang w:val="de-AT"/>
        </w:rPr>
        <w:t>zusätzliche Kostensenkungsprogramme.</w:t>
      </w:r>
    </w:p>
    <w:p w14:paraId="32B3593B" w14:textId="77777777" w:rsidR="0045178A" w:rsidRPr="00A577DF" w:rsidRDefault="0045178A" w:rsidP="00AB594C">
      <w:pPr>
        <w:spacing w:before="0"/>
        <w:jc w:val="both"/>
        <w:rPr>
          <w:sz w:val="22"/>
          <w:szCs w:val="22"/>
          <w:lang w:val="de-AT"/>
        </w:rPr>
      </w:pPr>
    </w:p>
    <w:p w14:paraId="2573066D" w14:textId="77777777" w:rsidR="00D26979" w:rsidRPr="00A577DF" w:rsidRDefault="008B6935">
      <w:pPr>
        <w:spacing w:before="0"/>
        <w:jc w:val="both"/>
        <w:rPr>
          <w:sz w:val="22"/>
          <w:szCs w:val="22"/>
          <w:lang w:val="de-AT"/>
        </w:rPr>
      </w:pPr>
      <w:r w:rsidRPr="00A577DF">
        <w:rPr>
          <w:sz w:val="22"/>
          <w:szCs w:val="22"/>
          <w:lang w:val="de-AT"/>
        </w:rPr>
        <w:t xml:space="preserve">Wie bei der Präsentation </w:t>
      </w:r>
      <w:r w:rsidR="007F01E0" w:rsidRPr="00A577DF">
        <w:rPr>
          <w:sz w:val="22"/>
          <w:szCs w:val="22"/>
          <w:lang w:val="de-AT"/>
        </w:rPr>
        <w:t xml:space="preserve">der Ergebnisse </w:t>
      </w:r>
      <w:r w:rsidR="007055E2" w:rsidRPr="00A577DF">
        <w:rPr>
          <w:sz w:val="22"/>
          <w:szCs w:val="22"/>
          <w:lang w:val="de-AT"/>
        </w:rPr>
        <w:t xml:space="preserve">für das Geschäftsjahr 2021 </w:t>
      </w:r>
      <w:r w:rsidRPr="00A577DF">
        <w:rPr>
          <w:sz w:val="22"/>
          <w:szCs w:val="22"/>
          <w:lang w:val="de-AT"/>
        </w:rPr>
        <w:t xml:space="preserve">am </w:t>
      </w:r>
      <w:r w:rsidR="00986312" w:rsidRPr="00A577DF">
        <w:rPr>
          <w:sz w:val="22"/>
          <w:szCs w:val="22"/>
          <w:lang w:val="de-AT"/>
        </w:rPr>
        <w:t>18</w:t>
      </w:r>
      <w:r w:rsidRPr="00A577DF">
        <w:rPr>
          <w:lang w:val="de-AT"/>
        </w:rPr>
        <w:t>.</w:t>
      </w:r>
      <w:r w:rsidR="00986312" w:rsidRPr="00A577DF">
        <w:rPr>
          <w:sz w:val="22"/>
          <w:szCs w:val="22"/>
          <w:lang w:val="de-AT"/>
        </w:rPr>
        <w:t xml:space="preserve"> Februar </w:t>
      </w:r>
      <w:r w:rsidR="007F01E0" w:rsidRPr="00A577DF">
        <w:rPr>
          <w:sz w:val="22"/>
          <w:szCs w:val="22"/>
          <w:lang w:val="de-AT"/>
        </w:rPr>
        <w:t xml:space="preserve">2022 </w:t>
      </w:r>
      <w:r w:rsidRPr="00A577DF">
        <w:rPr>
          <w:sz w:val="22"/>
          <w:szCs w:val="22"/>
          <w:lang w:val="de-AT"/>
        </w:rPr>
        <w:t xml:space="preserve">angegeben, </w:t>
      </w:r>
      <w:r w:rsidR="00647D05" w:rsidRPr="00A577DF">
        <w:rPr>
          <w:sz w:val="22"/>
          <w:szCs w:val="22"/>
          <w:lang w:val="de-AT"/>
        </w:rPr>
        <w:t xml:space="preserve">bestätigt </w:t>
      </w:r>
      <w:r w:rsidRPr="00A577DF">
        <w:rPr>
          <w:sz w:val="22"/>
          <w:szCs w:val="22"/>
          <w:lang w:val="de-AT"/>
        </w:rPr>
        <w:t>die Gruppe</w:t>
      </w:r>
      <w:r w:rsidR="00E95015" w:rsidRPr="00A577DF">
        <w:rPr>
          <w:sz w:val="22"/>
          <w:szCs w:val="22"/>
          <w:lang w:val="de-AT"/>
        </w:rPr>
        <w:t xml:space="preserve">, dass sie </w:t>
      </w:r>
      <w:r w:rsidR="00846402" w:rsidRPr="00A577DF">
        <w:rPr>
          <w:sz w:val="22"/>
          <w:szCs w:val="22"/>
          <w:lang w:val="de-AT"/>
        </w:rPr>
        <w:t xml:space="preserve">ihren </w:t>
      </w:r>
      <w:r w:rsidR="00C70B68" w:rsidRPr="00A577DF">
        <w:rPr>
          <w:sz w:val="22"/>
          <w:szCs w:val="22"/>
          <w:lang w:val="de-AT"/>
        </w:rPr>
        <w:t xml:space="preserve">mittelfristigen </w:t>
      </w:r>
      <w:proofErr w:type="spellStart"/>
      <w:r w:rsidR="00846402" w:rsidRPr="00A577DF">
        <w:rPr>
          <w:sz w:val="22"/>
          <w:szCs w:val="22"/>
          <w:lang w:val="de-AT"/>
        </w:rPr>
        <w:t>Renaulution</w:t>
      </w:r>
      <w:proofErr w:type="spellEnd"/>
      <w:r w:rsidR="00846402" w:rsidRPr="00A577DF">
        <w:rPr>
          <w:sz w:val="22"/>
          <w:szCs w:val="22"/>
          <w:lang w:val="de-AT"/>
        </w:rPr>
        <w:t xml:space="preserve">-Zielen </w:t>
      </w:r>
      <w:r w:rsidR="00647D05" w:rsidRPr="00A577DF">
        <w:rPr>
          <w:sz w:val="22"/>
          <w:szCs w:val="22"/>
          <w:lang w:val="de-AT"/>
        </w:rPr>
        <w:t xml:space="preserve">voraus ist </w:t>
      </w:r>
      <w:r w:rsidR="003E6E90" w:rsidRPr="00A577DF">
        <w:rPr>
          <w:sz w:val="22"/>
          <w:szCs w:val="22"/>
          <w:lang w:val="de-AT"/>
        </w:rPr>
        <w:t xml:space="preserve">und die </w:t>
      </w:r>
      <w:r w:rsidR="00FB3CC5" w:rsidRPr="00A577DF">
        <w:rPr>
          <w:sz w:val="22"/>
          <w:szCs w:val="22"/>
          <w:lang w:val="de-AT"/>
        </w:rPr>
        <w:t xml:space="preserve">Umsetzung ihres strategischen Plans </w:t>
      </w:r>
      <w:r w:rsidR="00CE3B79" w:rsidRPr="00A577DF">
        <w:rPr>
          <w:sz w:val="22"/>
          <w:szCs w:val="22"/>
          <w:lang w:val="de-AT"/>
        </w:rPr>
        <w:t>beschleunigt</w:t>
      </w:r>
      <w:r w:rsidR="0084308F" w:rsidRPr="00A577DF">
        <w:rPr>
          <w:sz w:val="22"/>
          <w:szCs w:val="22"/>
          <w:lang w:val="de-AT"/>
        </w:rPr>
        <w:t xml:space="preserve">. </w:t>
      </w:r>
    </w:p>
    <w:p w14:paraId="48CA4B3B" w14:textId="6A07A3DE" w:rsidR="00D26979" w:rsidRDefault="008B6935">
      <w:pPr>
        <w:jc w:val="both"/>
        <w:rPr>
          <w:sz w:val="22"/>
          <w:szCs w:val="22"/>
          <w:lang w:val="de-AT"/>
        </w:rPr>
      </w:pPr>
      <w:r w:rsidRPr="00A577DF">
        <w:rPr>
          <w:sz w:val="22"/>
          <w:szCs w:val="22"/>
          <w:lang w:val="de-AT"/>
        </w:rPr>
        <w:t>Die Renault</w:t>
      </w:r>
      <w:r w:rsidR="00F716A6">
        <w:rPr>
          <w:sz w:val="22"/>
          <w:szCs w:val="22"/>
          <w:lang w:val="de-AT"/>
        </w:rPr>
        <w:t xml:space="preserve"> Group</w:t>
      </w:r>
      <w:r w:rsidRPr="00A577DF">
        <w:rPr>
          <w:sz w:val="22"/>
          <w:szCs w:val="22"/>
          <w:lang w:val="de-AT"/>
        </w:rPr>
        <w:t xml:space="preserve"> wird auf einem Kapitalmarkttag im </w:t>
      </w:r>
      <w:r w:rsidR="00A26A28" w:rsidRPr="00A577DF">
        <w:rPr>
          <w:sz w:val="22"/>
          <w:szCs w:val="22"/>
          <w:lang w:val="de-AT"/>
        </w:rPr>
        <w:t xml:space="preserve">Herbst </w:t>
      </w:r>
      <w:r w:rsidRPr="00A577DF">
        <w:rPr>
          <w:sz w:val="22"/>
          <w:szCs w:val="22"/>
          <w:lang w:val="de-AT"/>
        </w:rPr>
        <w:t xml:space="preserve">2022 eine Aktualisierung ihrer </w:t>
      </w:r>
      <w:r w:rsidR="00747DF1" w:rsidRPr="00A577DF">
        <w:rPr>
          <w:sz w:val="22"/>
          <w:szCs w:val="22"/>
          <w:lang w:val="de-AT"/>
        </w:rPr>
        <w:t xml:space="preserve">finanziellen Ziele und </w:t>
      </w:r>
      <w:r w:rsidR="009117D6" w:rsidRPr="00A577DF">
        <w:rPr>
          <w:sz w:val="22"/>
          <w:szCs w:val="22"/>
          <w:lang w:val="de-AT"/>
        </w:rPr>
        <w:t xml:space="preserve">ihrer </w:t>
      </w:r>
      <w:r w:rsidRPr="00A577DF">
        <w:rPr>
          <w:sz w:val="22"/>
          <w:szCs w:val="22"/>
          <w:lang w:val="de-AT"/>
        </w:rPr>
        <w:t xml:space="preserve">Strategie zur Positionierung </w:t>
      </w:r>
      <w:r w:rsidR="00AD35F6" w:rsidRPr="00A577DF">
        <w:rPr>
          <w:sz w:val="22"/>
          <w:szCs w:val="22"/>
          <w:lang w:val="de-AT"/>
        </w:rPr>
        <w:t xml:space="preserve">der Gruppe </w:t>
      </w:r>
      <w:r w:rsidRPr="00A577DF">
        <w:rPr>
          <w:sz w:val="22"/>
          <w:szCs w:val="22"/>
          <w:lang w:val="de-AT"/>
        </w:rPr>
        <w:t xml:space="preserve">als wettbewerbsfähiger, </w:t>
      </w:r>
      <w:r w:rsidR="005C37CF">
        <w:rPr>
          <w:sz w:val="22"/>
          <w:szCs w:val="22"/>
          <w:lang w:val="de-AT"/>
        </w:rPr>
        <w:t>technologischer</w:t>
      </w:r>
      <w:r w:rsidRPr="00A577DF">
        <w:rPr>
          <w:sz w:val="22"/>
          <w:szCs w:val="22"/>
          <w:lang w:val="de-AT"/>
        </w:rPr>
        <w:t xml:space="preserve"> und </w:t>
      </w:r>
      <w:r w:rsidR="00F26B84" w:rsidRPr="00A577DF">
        <w:rPr>
          <w:sz w:val="22"/>
          <w:szCs w:val="22"/>
          <w:lang w:val="de-AT"/>
        </w:rPr>
        <w:t xml:space="preserve">nachhaltiger </w:t>
      </w:r>
      <w:r w:rsidRPr="00A577DF">
        <w:rPr>
          <w:sz w:val="22"/>
          <w:szCs w:val="22"/>
          <w:lang w:val="de-AT"/>
        </w:rPr>
        <w:t>Referenzakteur vorstellen</w:t>
      </w:r>
      <w:r w:rsidR="00747DF1" w:rsidRPr="00A577DF">
        <w:rPr>
          <w:sz w:val="22"/>
          <w:szCs w:val="22"/>
          <w:lang w:val="de-AT"/>
        </w:rPr>
        <w:t>.</w:t>
      </w:r>
    </w:p>
    <w:p w14:paraId="0D15AE35" w14:textId="77777777" w:rsidR="00F716A6" w:rsidRPr="00A577DF" w:rsidRDefault="00F716A6">
      <w:pPr>
        <w:jc w:val="both"/>
        <w:rPr>
          <w:sz w:val="22"/>
          <w:szCs w:val="22"/>
          <w:lang w:val="de-AT"/>
        </w:rPr>
      </w:pPr>
    </w:p>
    <w:p w14:paraId="13B4E2CA" w14:textId="7A80DC6F" w:rsidR="00332677" w:rsidRPr="00A577DF" w:rsidRDefault="00332677" w:rsidP="000A38DE">
      <w:pPr>
        <w:pStyle w:val="Listenabsatz"/>
        <w:numPr>
          <w:ilvl w:val="1"/>
          <w:numId w:val="43"/>
        </w:numPr>
        <w:shd w:val="clear" w:color="auto" w:fill="FFFFFF"/>
        <w:spacing w:before="100" w:beforeAutospacing="1" w:after="100" w:afterAutospacing="1"/>
        <w:jc w:val="both"/>
        <w:rPr>
          <w:rFonts w:ascii="Renault Group" w:eastAsia="Renault Group" w:hAnsi="Renault Group" w:cs="Times New Roman"/>
          <w:color w:val="988C7F"/>
          <w:sz w:val="32"/>
          <w:szCs w:val="32"/>
          <w:lang w:val="de-AT"/>
        </w:rPr>
      </w:pPr>
      <w:r w:rsidRPr="00A577DF">
        <w:rPr>
          <w:rFonts w:ascii="Renault Group" w:eastAsia="Renault Group" w:hAnsi="Renault Group" w:cs="Times New Roman"/>
          <w:color w:val="988C7F"/>
          <w:sz w:val="32"/>
          <w:szCs w:val="32"/>
          <w:lang w:val="de-AT"/>
        </w:rPr>
        <w:br w:type="page"/>
      </w:r>
    </w:p>
    <w:p w14:paraId="1D6D1662" w14:textId="77777777" w:rsidR="00D26979" w:rsidRPr="00A577DF" w:rsidRDefault="008B6935">
      <w:pPr>
        <w:keepNext/>
        <w:spacing w:before="360" w:after="120" w:line="240" w:lineRule="auto"/>
        <w:jc w:val="both"/>
        <w:outlineLvl w:val="0"/>
        <w:rPr>
          <w:color w:val="988C7F"/>
          <w:sz w:val="32"/>
          <w:szCs w:val="32"/>
          <w:lang w:val="de-AT"/>
        </w:rPr>
      </w:pPr>
      <w:r w:rsidRPr="00A577DF">
        <w:rPr>
          <w:color w:val="988C7F"/>
          <w:sz w:val="32"/>
          <w:szCs w:val="32"/>
          <w:lang w:val="de-AT"/>
        </w:rPr>
        <w:lastRenderedPageBreak/>
        <w:t xml:space="preserve">Der </w:t>
      </w:r>
      <w:r w:rsidR="003410F1" w:rsidRPr="00A577DF">
        <w:rPr>
          <w:color w:val="988C7F"/>
          <w:sz w:val="32"/>
          <w:szCs w:val="32"/>
          <w:lang w:val="de-AT"/>
        </w:rPr>
        <w:t xml:space="preserve">konsolidierte Umsatz </w:t>
      </w:r>
      <w:r w:rsidRPr="00A577DF">
        <w:rPr>
          <w:color w:val="988C7F"/>
          <w:sz w:val="32"/>
          <w:szCs w:val="32"/>
          <w:lang w:val="de-AT"/>
        </w:rPr>
        <w:t>der Renault-Gruppe</w:t>
      </w:r>
    </w:p>
    <w:tbl>
      <w:tblPr>
        <w:tblW w:w="7114" w:type="dxa"/>
        <w:tblInd w:w="-10" w:type="dxa"/>
        <w:tblLook w:val="0000" w:firstRow="0" w:lastRow="0" w:firstColumn="0" w:lastColumn="0" w:noHBand="0" w:noVBand="0"/>
      </w:tblPr>
      <w:tblGrid>
        <w:gridCol w:w="3342"/>
        <w:gridCol w:w="1141"/>
        <w:gridCol w:w="1149"/>
        <w:gridCol w:w="1482"/>
      </w:tblGrid>
      <w:tr w:rsidR="003410F1" w:rsidRPr="00A577DF" w14:paraId="5FE7E6FD" w14:textId="77777777" w:rsidTr="00942A54">
        <w:trPr>
          <w:trHeight w:val="285"/>
        </w:trPr>
        <w:tc>
          <w:tcPr>
            <w:tcW w:w="3544" w:type="dxa"/>
            <w:tcBorders>
              <w:top w:val="single" w:sz="8" w:space="0" w:color="auto"/>
              <w:left w:val="single" w:sz="8" w:space="0" w:color="auto"/>
              <w:bottom w:val="single" w:sz="4" w:space="0" w:color="auto"/>
              <w:right w:val="single" w:sz="8" w:space="0" w:color="auto"/>
            </w:tcBorders>
            <w:shd w:val="clear" w:color="auto" w:fill="auto"/>
            <w:vAlign w:val="center"/>
          </w:tcPr>
          <w:p w14:paraId="7D006D83" w14:textId="77777777" w:rsidR="00D26979" w:rsidRPr="00A577DF" w:rsidRDefault="008B6935">
            <w:pPr>
              <w:rPr>
                <w:rFonts w:cs="Arial"/>
                <w:b/>
                <w:bCs/>
                <w:i/>
                <w:iCs/>
                <w:sz w:val="20"/>
                <w:lang w:val="de-AT"/>
              </w:rPr>
            </w:pPr>
            <w:r w:rsidRPr="00A577DF">
              <w:rPr>
                <w:sz w:val="20"/>
                <w:lang w:val="de-AT"/>
              </w:rPr>
              <w:t xml:space="preserve"> (</w:t>
            </w:r>
            <w:r w:rsidR="00334F4F" w:rsidRPr="00A577DF">
              <w:rPr>
                <w:sz w:val="20"/>
                <w:lang w:val="de-AT"/>
              </w:rPr>
              <w:t xml:space="preserve">In </w:t>
            </w:r>
            <w:r w:rsidRPr="00A577DF">
              <w:rPr>
                <w:sz w:val="20"/>
                <w:lang w:val="de-AT"/>
              </w:rPr>
              <w:t xml:space="preserve">Millionen </w:t>
            </w:r>
            <w:r w:rsidR="00334F4F" w:rsidRPr="00A577DF">
              <w:rPr>
                <w:sz w:val="20"/>
                <w:lang w:val="de-AT"/>
              </w:rPr>
              <w:t>Euro</w:t>
            </w:r>
            <w:r w:rsidRPr="00A577DF">
              <w:rPr>
                <w:sz w:val="20"/>
                <w:lang w:val="de-AT"/>
              </w:rPr>
              <w:t>)</w:t>
            </w:r>
          </w:p>
        </w:tc>
        <w:tc>
          <w:tcPr>
            <w:tcW w:w="1155" w:type="dxa"/>
            <w:tcBorders>
              <w:top w:val="single" w:sz="8" w:space="0" w:color="auto"/>
              <w:left w:val="single" w:sz="4" w:space="0" w:color="auto"/>
              <w:bottom w:val="single" w:sz="4" w:space="0" w:color="auto"/>
              <w:right w:val="single" w:sz="4" w:space="0" w:color="auto"/>
            </w:tcBorders>
            <w:vAlign w:val="center"/>
          </w:tcPr>
          <w:p w14:paraId="14763879" w14:textId="77777777" w:rsidR="00D26979" w:rsidRPr="00A577DF" w:rsidRDefault="008B6935">
            <w:pPr>
              <w:tabs>
                <w:tab w:val="decimal" w:pos="505"/>
              </w:tabs>
              <w:jc w:val="center"/>
              <w:rPr>
                <w:rFonts w:cs="Arial"/>
                <w:b/>
                <w:bCs/>
                <w:i/>
                <w:iCs/>
                <w:sz w:val="20"/>
                <w:lang w:val="de-AT"/>
              </w:rPr>
            </w:pPr>
            <w:r w:rsidRPr="00A577DF">
              <w:rPr>
                <w:b/>
                <w:bCs/>
                <w:i/>
                <w:iCs/>
                <w:sz w:val="20"/>
                <w:lang w:val="de-AT"/>
              </w:rPr>
              <w:t>2021</w:t>
            </w:r>
          </w:p>
        </w:tc>
        <w:tc>
          <w:tcPr>
            <w:tcW w:w="1155" w:type="dxa"/>
            <w:tcBorders>
              <w:top w:val="single" w:sz="8" w:space="0" w:color="auto"/>
              <w:left w:val="single" w:sz="4" w:space="0" w:color="auto"/>
              <w:bottom w:val="single" w:sz="4" w:space="0" w:color="auto"/>
              <w:right w:val="single" w:sz="4" w:space="0" w:color="auto"/>
            </w:tcBorders>
            <w:vAlign w:val="center"/>
          </w:tcPr>
          <w:p w14:paraId="1661336E" w14:textId="77777777" w:rsidR="00D26979" w:rsidRPr="00A577DF" w:rsidRDefault="008B6935">
            <w:pPr>
              <w:tabs>
                <w:tab w:val="decimal" w:pos="505"/>
              </w:tabs>
              <w:jc w:val="center"/>
              <w:rPr>
                <w:rFonts w:cs="Arial"/>
                <w:b/>
                <w:bCs/>
                <w:i/>
                <w:iCs/>
                <w:sz w:val="20"/>
                <w:lang w:val="de-AT"/>
              </w:rPr>
            </w:pPr>
            <w:r w:rsidRPr="00A577DF">
              <w:rPr>
                <w:b/>
                <w:bCs/>
                <w:i/>
                <w:iCs/>
                <w:sz w:val="20"/>
                <w:lang w:val="de-AT"/>
              </w:rPr>
              <w:t>2022</w:t>
            </w:r>
          </w:p>
        </w:tc>
        <w:tc>
          <w:tcPr>
            <w:tcW w:w="1260" w:type="dxa"/>
            <w:tcBorders>
              <w:top w:val="single" w:sz="8" w:space="0" w:color="auto"/>
              <w:left w:val="single" w:sz="4" w:space="0" w:color="auto"/>
              <w:bottom w:val="single" w:sz="4" w:space="0" w:color="auto"/>
              <w:right w:val="single" w:sz="8" w:space="0" w:color="auto"/>
            </w:tcBorders>
            <w:shd w:val="clear" w:color="auto" w:fill="auto"/>
            <w:vAlign w:val="center"/>
          </w:tcPr>
          <w:p w14:paraId="29FEC2A7" w14:textId="3E14CA80" w:rsidR="00D26979" w:rsidRPr="00A577DF" w:rsidRDefault="00FD4659">
            <w:pPr>
              <w:jc w:val="center"/>
              <w:rPr>
                <w:rFonts w:cs="Arial"/>
                <w:b/>
                <w:bCs/>
                <w:i/>
                <w:iCs/>
                <w:sz w:val="20"/>
                <w:lang w:val="de-AT"/>
              </w:rPr>
            </w:pPr>
            <w:r>
              <w:rPr>
                <w:rFonts w:cs="Arial"/>
                <w:b/>
                <w:bCs/>
                <w:i/>
                <w:iCs/>
                <w:sz w:val="20"/>
                <w:lang w:val="de-AT"/>
              </w:rPr>
              <w:t>Veränderung in %</w:t>
            </w:r>
          </w:p>
          <w:p w14:paraId="2D7E4348" w14:textId="77777777" w:rsidR="00D26979" w:rsidRPr="00A577DF" w:rsidRDefault="008B6935">
            <w:pPr>
              <w:tabs>
                <w:tab w:val="decimal" w:pos="525"/>
              </w:tabs>
              <w:jc w:val="center"/>
              <w:rPr>
                <w:rFonts w:cs="Arial"/>
                <w:color w:val="000000"/>
                <w:sz w:val="20"/>
                <w:lang w:val="de-AT"/>
              </w:rPr>
            </w:pPr>
            <w:r w:rsidRPr="00A577DF">
              <w:rPr>
                <w:b/>
                <w:bCs/>
                <w:i/>
                <w:iCs/>
                <w:sz w:val="20"/>
                <w:lang w:val="de-AT"/>
              </w:rPr>
              <w:t>2022/2021</w:t>
            </w:r>
          </w:p>
        </w:tc>
      </w:tr>
      <w:tr w:rsidR="003410F1" w:rsidRPr="00A577DF" w14:paraId="591CCF0F" w14:textId="77777777" w:rsidTr="00942A54">
        <w:trPr>
          <w:trHeight w:val="285"/>
        </w:trPr>
        <w:tc>
          <w:tcPr>
            <w:tcW w:w="3544" w:type="dxa"/>
            <w:tcBorders>
              <w:top w:val="single" w:sz="4" w:space="0" w:color="auto"/>
              <w:left w:val="single" w:sz="8" w:space="0" w:color="auto"/>
              <w:bottom w:val="nil"/>
              <w:right w:val="single" w:sz="8" w:space="0" w:color="auto"/>
            </w:tcBorders>
            <w:shd w:val="clear" w:color="auto" w:fill="auto"/>
          </w:tcPr>
          <w:p w14:paraId="5E955CD6" w14:textId="77777777" w:rsidR="00D26979" w:rsidRPr="00A577DF" w:rsidRDefault="008B6935">
            <w:pPr>
              <w:rPr>
                <w:rFonts w:cs="Arial"/>
                <w:b/>
                <w:bCs/>
                <w:i/>
                <w:iCs/>
                <w:sz w:val="20"/>
                <w:lang w:val="de-AT"/>
              </w:rPr>
            </w:pPr>
            <w:r w:rsidRPr="00A577DF">
              <w:rPr>
                <w:b/>
                <w:bCs/>
                <w:i/>
                <w:iCs/>
                <w:color w:val="000000"/>
                <w:sz w:val="20"/>
                <w:lang w:val="de-AT"/>
              </w:rPr>
              <w:t>1</w:t>
            </w:r>
            <w:proofErr w:type="gramStart"/>
            <w:r w:rsidRPr="00A577DF">
              <w:rPr>
                <w:b/>
                <w:bCs/>
                <w:i/>
                <w:iCs/>
                <w:color w:val="000000"/>
                <w:sz w:val="20"/>
                <w:vertAlign w:val="superscript"/>
                <w:lang w:val="de-AT"/>
              </w:rPr>
              <w:t xml:space="preserve">st </w:t>
            </w:r>
            <w:r w:rsidRPr="00A577DF">
              <w:rPr>
                <w:b/>
                <w:bCs/>
                <w:i/>
                <w:iCs/>
                <w:color w:val="000000"/>
                <w:sz w:val="20"/>
                <w:lang w:val="de-AT"/>
              </w:rPr>
              <w:t xml:space="preserve"> Viertel</w:t>
            </w:r>
            <w:proofErr w:type="gramEnd"/>
          </w:p>
        </w:tc>
        <w:tc>
          <w:tcPr>
            <w:tcW w:w="1155" w:type="dxa"/>
            <w:tcBorders>
              <w:top w:val="single" w:sz="4" w:space="0" w:color="auto"/>
              <w:left w:val="single" w:sz="4" w:space="0" w:color="auto"/>
              <w:bottom w:val="nil"/>
              <w:right w:val="single" w:sz="4" w:space="0" w:color="auto"/>
            </w:tcBorders>
          </w:tcPr>
          <w:p w14:paraId="23177149" w14:textId="77777777" w:rsidR="003410F1" w:rsidRPr="00A577DF" w:rsidRDefault="003410F1" w:rsidP="003410F1">
            <w:pPr>
              <w:tabs>
                <w:tab w:val="decimal" w:pos="505"/>
              </w:tabs>
              <w:jc w:val="center"/>
              <w:rPr>
                <w:rFonts w:cs="Arial"/>
                <w:b/>
                <w:bCs/>
                <w:i/>
                <w:iCs/>
                <w:sz w:val="20"/>
                <w:lang w:val="de-AT"/>
              </w:rPr>
            </w:pPr>
          </w:p>
        </w:tc>
        <w:tc>
          <w:tcPr>
            <w:tcW w:w="1155" w:type="dxa"/>
            <w:tcBorders>
              <w:top w:val="single" w:sz="4" w:space="0" w:color="auto"/>
              <w:left w:val="single" w:sz="4" w:space="0" w:color="auto"/>
              <w:bottom w:val="nil"/>
              <w:right w:val="single" w:sz="4" w:space="0" w:color="auto"/>
            </w:tcBorders>
          </w:tcPr>
          <w:p w14:paraId="5561B471" w14:textId="77777777" w:rsidR="003410F1" w:rsidRPr="00A577DF" w:rsidRDefault="003410F1" w:rsidP="003410F1">
            <w:pPr>
              <w:tabs>
                <w:tab w:val="decimal" w:pos="505"/>
              </w:tabs>
              <w:jc w:val="center"/>
              <w:rPr>
                <w:rFonts w:cs="Arial"/>
                <w:b/>
                <w:bCs/>
                <w:i/>
                <w:iCs/>
                <w:sz w:val="20"/>
                <w:lang w:val="de-AT"/>
              </w:rPr>
            </w:pPr>
          </w:p>
        </w:tc>
        <w:tc>
          <w:tcPr>
            <w:tcW w:w="1260" w:type="dxa"/>
            <w:tcBorders>
              <w:top w:val="single" w:sz="4" w:space="0" w:color="auto"/>
              <w:left w:val="single" w:sz="4" w:space="0" w:color="auto"/>
              <w:bottom w:val="nil"/>
              <w:right w:val="single" w:sz="8" w:space="0" w:color="auto"/>
            </w:tcBorders>
            <w:shd w:val="clear" w:color="auto" w:fill="auto"/>
          </w:tcPr>
          <w:p w14:paraId="2054325D" w14:textId="77777777" w:rsidR="003410F1" w:rsidRPr="00A577DF" w:rsidRDefault="003410F1" w:rsidP="003410F1">
            <w:pPr>
              <w:tabs>
                <w:tab w:val="decimal" w:pos="525"/>
              </w:tabs>
              <w:jc w:val="center"/>
              <w:rPr>
                <w:rFonts w:cs="Arial"/>
                <w:color w:val="000000"/>
                <w:sz w:val="20"/>
                <w:lang w:val="de-AT"/>
              </w:rPr>
            </w:pPr>
          </w:p>
        </w:tc>
      </w:tr>
      <w:tr w:rsidR="00B30950" w:rsidRPr="00A577DF" w14:paraId="53E375C9" w14:textId="77777777" w:rsidTr="00942A54">
        <w:trPr>
          <w:trHeight w:val="285"/>
        </w:trPr>
        <w:tc>
          <w:tcPr>
            <w:tcW w:w="3544" w:type="dxa"/>
            <w:tcBorders>
              <w:top w:val="nil"/>
              <w:left w:val="single" w:sz="8" w:space="0" w:color="auto"/>
              <w:bottom w:val="nil"/>
              <w:right w:val="single" w:sz="8" w:space="0" w:color="auto"/>
            </w:tcBorders>
            <w:shd w:val="clear" w:color="auto" w:fill="auto"/>
          </w:tcPr>
          <w:p w14:paraId="414051E8" w14:textId="77777777" w:rsidR="00D26979" w:rsidRPr="00A577DF" w:rsidRDefault="008B6935">
            <w:pPr>
              <w:rPr>
                <w:rFonts w:cs="Arial"/>
                <w:b/>
                <w:bCs/>
                <w:i/>
                <w:iCs/>
                <w:sz w:val="20"/>
                <w:lang w:val="de-AT"/>
              </w:rPr>
            </w:pPr>
            <w:r w:rsidRPr="00A577DF">
              <w:rPr>
                <w:color w:val="000000"/>
                <w:sz w:val="20"/>
                <w:lang w:val="de-AT"/>
              </w:rPr>
              <w:t>Automobilindustrie ohne AVTOVAZ</w:t>
            </w:r>
          </w:p>
        </w:tc>
        <w:tc>
          <w:tcPr>
            <w:tcW w:w="1155" w:type="dxa"/>
            <w:tcBorders>
              <w:top w:val="nil"/>
              <w:left w:val="single" w:sz="4" w:space="0" w:color="auto"/>
              <w:bottom w:val="nil"/>
              <w:right w:val="single" w:sz="4" w:space="0" w:color="auto"/>
            </w:tcBorders>
          </w:tcPr>
          <w:p w14:paraId="5B931ADB" w14:textId="77777777" w:rsidR="00D26979" w:rsidRPr="00A577DF" w:rsidRDefault="008B6935">
            <w:pPr>
              <w:tabs>
                <w:tab w:val="decimal" w:pos="505"/>
              </w:tabs>
              <w:jc w:val="right"/>
              <w:rPr>
                <w:rFonts w:cs="Arial"/>
                <w:color w:val="000000"/>
                <w:sz w:val="20"/>
                <w:lang w:val="de-AT"/>
              </w:rPr>
            </w:pPr>
            <w:r w:rsidRPr="00A577DF">
              <w:rPr>
                <w:color w:val="000000"/>
                <w:sz w:val="20"/>
                <w:lang w:val="de-AT"/>
              </w:rPr>
              <w:t>8</w:t>
            </w:r>
            <w:r w:rsidR="00942A54" w:rsidRPr="00A577DF">
              <w:rPr>
                <w:color w:val="000000"/>
                <w:sz w:val="20"/>
                <w:lang w:val="de-AT"/>
              </w:rPr>
              <w:t>,</w:t>
            </w:r>
            <w:r w:rsidRPr="00A577DF">
              <w:rPr>
                <w:color w:val="000000"/>
                <w:sz w:val="20"/>
                <w:lang w:val="de-AT"/>
              </w:rPr>
              <w:t>566</w:t>
            </w:r>
          </w:p>
        </w:tc>
        <w:tc>
          <w:tcPr>
            <w:tcW w:w="1155" w:type="dxa"/>
            <w:tcBorders>
              <w:top w:val="nil"/>
              <w:left w:val="single" w:sz="4" w:space="0" w:color="auto"/>
              <w:bottom w:val="nil"/>
              <w:right w:val="single" w:sz="4" w:space="0" w:color="auto"/>
            </w:tcBorders>
            <w:vAlign w:val="bottom"/>
          </w:tcPr>
          <w:p w14:paraId="357A1AC7" w14:textId="77777777" w:rsidR="00D26979" w:rsidRPr="00A577DF" w:rsidRDefault="008B6935">
            <w:pPr>
              <w:tabs>
                <w:tab w:val="decimal" w:pos="505"/>
              </w:tabs>
              <w:jc w:val="right"/>
              <w:rPr>
                <w:color w:val="000000"/>
                <w:sz w:val="20"/>
                <w:lang w:val="de-AT"/>
              </w:rPr>
            </w:pPr>
            <w:r w:rsidRPr="00A577DF">
              <w:rPr>
                <w:color w:val="000000"/>
                <w:sz w:val="20"/>
                <w:lang w:val="de-AT"/>
              </w:rPr>
              <w:t>8</w:t>
            </w:r>
            <w:r w:rsidR="00942A54" w:rsidRPr="00A577DF">
              <w:rPr>
                <w:color w:val="000000"/>
                <w:sz w:val="20"/>
                <w:lang w:val="de-AT"/>
              </w:rPr>
              <w:t>,</w:t>
            </w:r>
            <w:r w:rsidRPr="00A577DF">
              <w:rPr>
                <w:color w:val="000000"/>
                <w:sz w:val="20"/>
                <w:lang w:val="de-AT"/>
              </w:rPr>
              <w:t>476</w:t>
            </w:r>
          </w:p>
        </w:tc>
        <w:tc>
          <w:tcPr>
            <w:tcW w:w="1260" w:type="dxa"/>
            <w:tcBorders>
              <w:top w:val="nil"/>
              <w:left w:val="single" w:sz="4" w:space="0" w:color="auto"/>
              <w:bottom w:val="nil"/>
              <w:right w:val="single" w:sz="8" w:space="0" w:color="auto"/>
            </w:tcBorders>
            <w:shd w:val="clear" w:color="auto" w:fill="auto"/>
            <w:vAlign w:val="bottom"/>
          </w:tcPr>
          <w:p w14:paraId="28620841" w14:textId="77777777" w:rsidR="00D26979" w:rsidRPr="00A577DF" w:rsidRDefault="008B6935">
            <w:pPr>
              <w:tabs>
                <w:tab w:val="decimal" w:pos="525"/>
              </w:tabs>
              <w:jc w:val="right"/>
              <w:rPr>
                <w:color w:val="000000"/>
                <w:sz w:val="20"/>
                <w:lang w:val="de-AT"/>
              </w:rPr>
            </w:pPr>
            <w:r w:rsidRPr="00A577DF">
              <w:rPr>
                <w:color w:val="000000"/>
                <w:sz w:val="20"/>
                <w:lang w:val="de-AT"/>
              </w:rPr>
              <w:t>-1</w:t>
            </w:r>
            <w:r w:rsidR="00942A54" w:rsidRPr="00A577DF">
              <w:rPr>
                <w:color w:val="000000"/>
                <w:sz w:val="20"/>
                <w:lang w:val="de-AT"/>
              </w:rPr>
              <w:t>.</w:t>
            </w:r>
            <w:r w:rsidRPr="00A577DF">
              <w:rPr>
                <w:color w:val="000000"/>
                <w:sz w:val="20"/>
                <w:lang w:val="de-AT"/>
              </w:rPr>
              <w:t>1%</w:t>
            </w:r>
          </w:p>
        </w:tc>
      </w:tr>
      <w:tr w:rsidR="00F37074" w:rsidRPr="00A577DF" w14:paraId="31E54C56" w14:textId="77777777" w:rsidTr="00942A54">
        <w:trPr>
          <w:trHeight w:val="285"/>
        </w:trPr>
        <w:tc>
          <w:tcPr>
            <w:tcW w:w="3544" w:type="dxa"/>
            <w:tcBorders>
              <w:top w:val="nil"/>
              <w:left w:val="single" w:sz="8" w:space="0" w:color="auto"/>
              <w:bottom w:val="nil"/>
              <w:right w:val="single" w:sz="8" w:space="0" w:color="auto"/>
            </w:tcBorders>
            <w:shd w:val="clear" w:color="auto" w:fill="auto"/>
          </w:tcPr>
          <w:p w14:paraId="582A877F" w14:textId="77777777" w:rsidR="00D26979" w:rsidRPr="00A577DF" w:rsidRDefault="008B6935">
            <w:pPr>
              <w:ind w:firstLine="177"/>
              <w:rPr>
                <w:rFonts w:cs="Arial"/>
                <w:i/>
                <w:color w:val="000000"/>
                <w:sz w:val="20"/>
                <w:lang w:val="de-AT"/>
              </w:rPr>
            </w:pPr>
            <w:r w:rsidRPr="00A577DF">
              <w:rPr>
                <w:i/>
                <w:color w:val="000000"/>
                <w:sz w:val="20"/>
                <w:lang w:val="de-AT"/>
              </w:rPr>
              <w:t>Davon Renault Russland</w:t>
            </w:r>
          </w:p>
        </w:tc>
        <w:tc>
          <w:tcPr>
            <w:tcW w:w="1155" w:type="dxa"/>
            <w:tcBorders>
              <w:top w:val="nil"/>
              <w:left w:val="single" w:sz="4" w:space="0" w:color="auto"/>
              <w:bottom w:val="nil"/>
              <w:right w:val="single" w:sz="4" w:space="0" w:color="auto"/>
            </w:tcBorders>
            <w:vAlign w:val="bottom"/>
          </w:tcPr>
          <w:p w14:paraId="729CE70E" w14:textId="77777777" w:rsidR="00D26979" w:rsidRPr="00A577DF" w:rsidRDefault="008B6935">
            <w:pPr>
              <w:tabs>
                <w:tab w:val="decimal" w:pos="505"/>
              </w:tabs>
              <w:jc w:val="right"/>
              <w:rPr>
                <w:i/>
                <w:color w:val="000000"/>
                <w:sz w:val="20"/>
                <w:lang w:val="de-AT"/>
              </w:rPr>
            </w:pPr>
            <w:r w:rsidRPr="00A577DF">
              <w:rPr>
                <w:i/>
                <w:color w:val="000000"/>
                <w:sz w:val="20"/>
                <w:lang w:val="de-AT"/>
              </w:rPr>
              <w:t>375</w:t>
            </w:r>
          </w:p>
        </w:tc>
        <w:tc>
          <w:tcPr>
            <w:tcW w:w="1155" w:type="dxa"/>
            <w:tcBorders>
              <w:top w:val="nil"/>
              <w:left w:val="single" w:sz="4" w:space="0" w:color="auto"/>
              <w:bottom w:val="nil"/>
              <w:right w:val="single" w:sz="4" w:space="0" w:color="auto"/>
            </w:tcBorders>
            <w:vAlign w:val="bottom"/>
          </w:tcPr>
          <w:p w14:paraId="0858EEB6" w14:textId="77777777" w:rsidR="00D26979" w:rsidRPr="00A577DF" w:rsidRDefault="008B6935">
            <w:pPr>
              <w:tabs>
                <w:tab w:val="decimal" w:pos="505"/>
              </w:tabs>
              <w:jc w:val="right"/>
              <w:rPr>
                <w:i/>
                <w:color w:val="000000"/>
                <w:sz w:val="20"/>
                <w:lang w:val="de-AT"/>
              </w:rPr>
            </w:pPr>
            <w:r w:rsidRPr="00A577DF">
              <w:rPr>
                <w:i/>
                <w:color w:val="000000"/>
                <w:sz w:val="20"/>
                <w:lang w:val="de-AT"/>
              </w:rPr>
              <w:t>367</w:t>
            </w:r>
          </w:p>
        </w:tc>
        <w:tc>
          <w:tcPr>
            <w:tcW w:w="1260" w:type="dxa"/>
            <w:tcBorders>
              <w:top w:val="nil"/>
              <w:left w:val="single" w:sz="4" w:space="0" w:color="auto"/>
              <w:bottom w:val="nil"/>
              <w:right w:val="single" w:sz="8" w:space="0" w:color="auto"/>
            </w:tcBorders>
            <w:shd w:val="clear" w:color="auto" w:fill="auto"/>
            <w:vAlign w:val="bottom"/>
          </w:tcPr>
          <w:p w14:paraId="56CA81E0" w14:textId="77777777" w:rsidR="00D26979" w:rsidRPr="00A577DF" w:rsidRDefault="008B6935">
            <w:pPr>
              <w:tabs>
                <w:tab w:val="decimal" w:pos="525"/>
              </w:tabs>
              <w:jc w:val="right"/>
              <w:rPr>
                <w:i/>
                <w:color w:val="000000"/>
                <w:sz w:val="20"/>
                <w:lang w:val="de-AT"/>
              </w:rPr>
            </w:pPr>
            <w:r w:rsidRPr="00A577DF">
              <w:rPr>
                <w:i/>
                <w:color w:val="000000"/>
                <w:sz w:val="20"/>
                <w:lang w:val="de-AT"/>
              </w:rPr>
              <w:t>-2</w:t>
            </w:r>
            <w:r w:rsidR="00942A54" w:rsidRPr="00A577DF">
              <w:rPr>
                <w:i/>
                <w:color w:val="000000"/>
                <w:sz w:val="20"/>
                <w:lang w:val="de-AT"/>
              </w:rPr>
              <w:t>.</w:t>
            </w:r>
            <w:r w:rsidRPr="00A577DF">
              <w:rPr>
                <w:i/>
                <w:color w:val="000000"/>
                <w:sz w:val="20"/>
                <w:lang w:val="de-AT"/>
              </w:rPr>
              <w:t xml:space="preserve">1% </w:t>
            </w:r>
          </w:p>
        </w:tc>
      </w:tr>
      <w:tr w:rsidR="005F7FA8" w:rsidRPr="00A577DF" w14:paraId="0A0573A7" w14:textId="77777777" w:rsidTr="00942A54">
        <w:trPr>
          <w:trHeight w:val="285"/>
        </w:trPr>
        <w:tc>
          <w:tcPr>
            <w:tcW w:w="3544" w:type="dxa"/>
            <w:tcBorders>
              <w:top w:val="nil"/>
              <w:left w:val="single" w:sz="8" w:space="0" w:color="auto"/>
              <w:bottom w:val="nil"/>
              <w:right w:val="single" w:sz="8" w:space="0" w:color="auto"/>
            </w:tcBorders>
            <w:shd w:val="clear" w:color="auto" w:fill="auto"/>
          </w:tcPr>
          <w:p w14:paraId="44AE508A" w14:textId="77777777" w:rsidR="00D26979" w:rsidRPr="00A577DF" w:rsidRDefault="008B6935">
            <w:pPr>
              <w:rPr>
                <w:rFonts w:cs="Arial"/>
                <w:b/>
                <w:bCs/>
                <w:i/>
                <w:iCs/>
                <w:sz w:val="20"/>
                <w:lang w:val="de-AT"/>
              </w:rPr>
            </w:pPr>
            <w:r w:rsidRPr="00A577DF">
              <w:rPr>
                <w:color w:val="000000"/>
                <w:sz w:val="20"/>
                <w:lang w:val="de-AT"/>
              </w:rPr>
              <w:t>AVTOVAZ</w:t>
            </w:r>
          </w:p>
        </w:tc>
        <w:tc>
          <w:tcPr>
            <w:tcW w:w="1155" w:type="dxa"/>
            <w:tcBorders>
              <w:top w:val="nil"/>
              <w:left w:val="single" w:sz="4" w:space="0" w:color="auto"/>
              <w:bottom w:val="nil"/>
              <w:right w:val="single" w:sz="4" w:space="0" w:color="auto"/>
            </w:tcBorders>
          </w:tcPr>
          <w:p w14:paraId="6E549B0B" w14:textId="77777777" w:rsidR="00D26979" w:rsidRPr="00A577DF" w:rsidRDefault="008B6935">
            <w:pPr>
              <w:tabs>
                <w:tab w:val="decimal" w:pos="505"/>
              </w:tabs>
              <w:jc w:val="right"/>
              <w:rPr>
                <w:color w:val="000000"/>
                <w:sz w:val="20"/>
                <w:lang w:val="de-AT"/>
              </w:rPr>
            </w:pPr>
            <w:r w:rsidRPr="00A577DF">
              <w:rPr>
                <w:color w:val="000000"/>
                <w:sz w:val="20"/>
                <w:lang w:val="de-AT"/>
              </w:rPr>
              <w:t>685</w:t>
            </w:r>
          </w:p>
        </w:tc>
        <w:tc>
          <w:tcPr>
            <w:tcW w:w="1155" w:type="dxa"/>
            <w:tcBorders>
              <w:top w:val="nil"/>
              <w:left w:val="single" w:sz="4" w:space="0" w:color="auto"/>
              <w:bottom w:val="nil"/>
              <w:right w:val="single" w:sz="4" w:space="0" w:color="auto"/>
            </w:tcBorders>
            <w:vAlign w:val="bottom"/>
          </w:tcPr>
          <w:p w14:paraId="3ECCD7D4" w14:textId="77777777" w:rsidR="00D26979" w:rsidRPr="00A577DF" w:rsidRDefault="008B6935">
            <w:pPr>
              <w:tabs>
                <w:tab w:val="decimal" w:pos="505"/>
              </w:tabs>
              <w:jc w:val="right"/>
              <w:rPr>
                <w:color w:val="000000"/>
                <w:sz w:val="20"/>
                <w:lang w:val="de-AT"/>
              </w:rPr>
            </w:pPr>
            <w:r w:rsidRPr="00A577DF">
              <w:rPr>
                <w:color w:val="000000"/>
                <w:sz w:val="20"/>
                <w:lang w:val="de-AT"/>
              </w:rPr>
              <w:t>527</w:t>
            </w:r>
          </w:p>
        </w:tc>
        <w:tc>
          <w:tcPr>
            <w:tcW w:w="1260" w:type="dxa"/>
            <w:tcBorders>
              <w:top w:val="nil"/>
              <w:left w:val="single" w:sz="4" w:space="0" w:color="auto"/>
              <w:bottom w:val="nil"/>
              <w:right w:val="single" w:sz="8" w:space="0" w:color="auto"/>
            </w:tcBorders>
            <w:shd w:val="clear" w:color="auto" w:fill="auto"/>
            <w:vAlign w:val="bottom"/>
          </w:tcPr>
          <w:p w14:paraId="5380A9F8" w14:textId="77777777" w:rsidR="00D26979" w:rsidRPr="00A577DF" w:rsidRDefault="008B6935">
            <w:pPr>
              <w:tabs>
                <w:tab w:val="decimal" w:pos="525"/>
              </w:tabs>
              <w:jc w:val="right"/>
              <w:rPr>
                <w:color w:val="000000"/>
                <w:sz w:val="20"/>
                <w:lang w:val="de-AT"/>
              </w:rPr>
            </w:pPr>
            <w:r w:rsidRPr="00A577DF">
              <w:rPr>
                <w:color w:val="000000"/>
                <w:sz w:val="20"/>
                <w:lang w:val="de-AT"/>
              </w:rPr>
              <w:t>-23</w:t>
            </w:r>
            <w:r w:rsidR="0009237D" w:rsidRPr="00A577DF">
              <w:rPr>
                <w:color w:val="000000"/>
                <w:sz w:val="20"/>
                <w:lang w:val="de-AT"/>
              </w:rPr>
              <w:t>.</w:t>
            </w:r>
            <w:r w:rsidRPr="00A577DF">
              <w:rPr>
                <w:color w:val="000000"/>
                <w:sz w:val="20"/>
                <w:lang w:val="de-AT"/>
              </w:rPr>
              <w:t>1%</w:t>
            </w:r>
          </w:p>
        </w:tc>
      </w:tr>
      <w:tr w:rsidR="00553F4E" w:rsidRPr="00A577DF" w14:paraId="0FFEFDE4" w14:textId="77777777" w:rsidTr="00942A54">
        <w:trPr>
          <w:trHeight w:val="152"/>
        </w:trPr>
        <w:tc>
          <w:tcPr>
            <w:tcW w:w="3544" w:type="dxa"/>
            <w:tcBorders>
              <w:top w:val="nil"/>
              <w:left w:val="single" w:sz="8" w:space="0" w:color="auto"/>
              <w:right w:val="single" w:sz="8" w:space="0" w:color="auto"/>
            </w:tcBorders>
            <w:shd w:val="clear" w:color="auto" w:fill="auto"/>
          </w:tcPr>
          <w:p w14:paraId="0E327801" w14:textId="77777777" w:rsidR="00D26979" w:rsidRPr="00A577DF" w:rsidRDefault="008B6935">
            <w:pPr>
              <w:rPr>
                <w:rFonts w:cs="Arial"/>
                <w:bCs/>
                <w:color w:val="000000"/>
                <w:sz w:val="20"/>
                <w:lang w:val="de-AT"/>
              </w:rPr>
            </w:pPr>
            <w:r w:rsidRPr="00A577DF">
              <w:rPr>
                <w:bCs/>
                <w:color w:val="000000"/>
                <w:sz w:val="20"/>
                <w:lang w:val="de-AT"/>
              </w:rPr>
              <w:t xml:space="preserve">Mobilitätsdienstleistungen </w:t>
            </w:r>
          </w:p>
        </w:tc>
        <w:tc>
          <w:tcPr>
            <w:tcW w:w="1155" w:type="dxa"/>
            <w:tcBorders>
              <w:top w:val="nil"/>
              <w:left w:val="single" w:sz="4" w:space="0" w:color="auto"/>
              <w:right w:val="single" w:sz="4" w:space="0" w:color="auto"/>
            </w:tcBorders>
          </w:tcPr>
          <w:p w14:paraId="413289E4" w14:textId="77777777" w:rsidR="00D26979" w:rsidRPr="00A577DF" w:rsidRDefault="008B6935">
            <w:pPr>
              <w:tabs>
                <w:tab w:val="decimal" w:pos="505"/>
              </w:tabs>
              <w:jc w:val="right"/>
              <w:rPr>
                <w:color w:val="000000"/>
                <w:sz w:val="20"/>
                <w:lang w:val="de-AT"/>
              </w:rPr>
            </w:pPr>
            <w:r w:rsidRPr="00A577DF">
              <w:rPr>
                <w:color w:val="000000"/>
                <w:sz w:val="20"/>
                <w:lang w:val="de-AT"/>
              </w:rPr>
              <w:t>5</w:t>
            </w:r>
          </w:p>
        </w:tc>
        <w:tc>
          <w:tcPr>
            <w:tcW w:w="1155" w:type="dxa"/>
            <w:tcBorders>
              <w:top w:val="nil"/>
              <w:left w:val="single" w:sz="4" w:space="0" w:color="auto"/>
              <w:right w:val="single" w:sz="4" w:space="0" w:color="auto"/>
            </w:tcBorders>
            <w:vAlign w:val="bottom"/>
          </w:tcPr>
          <w:p w14:paraId="4AE0CD43" w14:textId="77777777" w:rsidR="00D26979" w:rsidRPr="00A577DF" w:rsidRDefault="008B6935">
            <w:pPr>
              <w:tabs>
                <w:tab w:val="decimal" w:pos="505"/>
              </w:tabs>
              <w:jc w:val="right"/>
              <w:rPr>
                <w:color w:val="000000"/>
                <w:sz w:val="20"/>
                <w:lang w:val="de-AT"/>
              </w:rPr>
            </w:pPr>
            <w:r w:rsidRPr="00A577DF">
              <w:rPr>
                <w:color w:val="000000"/>
                <w:sz w:val="20"/>
                <w:lang w:val="de-AT"/>
              </w:rPr>
              <w:t>8</w:t>
            </w:r>
          </w:p>
        </w:tc>
        <w:tc>
          <w:tcPr>
            <w:tcW w:w="1260" w:type="dxa"/>
            <w:tcBorders>
              <w:top w:val="nil"/>
              <w:left w:val="single" w:sz="4" w:space="0" w:color="auto"/>
              <w:right w:val="single" w:sz="8" w:space="0" w:color="auto"/>
            </w:tcBorders>
            <w:shd w:val="clear" w:color="auto" w:fill="auto"/>
            <w:vAlign w:val="bottom"/>
          </w:tcPr>
          <w:p w14:paraId="2D2F7096" w14:textId="77777777" w:rsidR="00D26979" w:rsidRPr="00A577DF" w:rsidRDefault="008B6935">
            <w:pPr>
              <w:tabs>
                <w:tab w:val="decimal" w:pos="525"/>
              </w:tabs>
              <w:jc w:val="right"/>
              <w:rPr>
                <w:color w:val="000000"/>
                <w:sz w:val="20"/>
                <w:lang w:val="de-AT"/>
              </w:rPr>
            </w:pPr>
            <w:r w:rsidRPr="00A577DF">
              <w:rPr>
                <w:color w:val="000000"/>
                <w:sz w:val="20"/>
                <w:lang w:val="de-AT"/>
              </w:rPr>
              <w:t>+60</w:t>
            </w:r>
            <w:r w:rsidR="009E19F3" w:rsidRPr="00A577DF">
              <w:rPr>
                <w:color w:val="000000"/>
                <w:sz w:val="20"/>
                <w:lang w:val="de-AT"/>
              </w:rPr>
              <w:t>.</w:t>
            </w:r>
            <w:r w:rsidR="00553F4E" w:rsidRPr="00A577DF">
              <w:rPr>
                <w:color w:val="000000"/>
                <w:sz w:val="20"/>
                <w:lang w:val="de-AT"/>
              </w:rPr>
              <w:t>0%</w:t>
            </w:r>
          </w:p>
        </w:tc>
      </w:tr>
      <w:tr w:rsidR="00554623" w:rsidRPr="00A577DF" w14:paraId="280CE9BE" w14:textId="77777777" w:rsidTr="00942A54">
        <w:trPr>
          <w:trHeight w:val="152"/>
        </w:trPr>
        <w:tc>
          <w:tcPr>
            <w:tcW w:w="3544" w:type="dxa"/>
            <w:tcBorders>
              <w:top w:val="nil"/>
              <w:left w:val="single" w:sz="8" w:space="0" w:color="auto"/>
              <w:bottom w:val="single" w:sz="4" w:space="0" w:color="auto"/>
              <w:right w:val="single" w:sz="8" w:space="0" w:color="auto"/>
            </w:tcBorders>
            <w:shd w:val="clear" w:color="auto" w:fill="auto"/>
          </w:tcPr>
          <w:p w14:paraId="445ECDAC" w14:textId="77777777" w:rsidR="00D26979" w:rsidRPr="00A577DF" w:rsidRDefault="008B6935">
            <w:pPr>
              <w:rPr>
                <w:rFonts w:cs="Arial"/>
                <w:bCs/>
                <w:color w:val="000000"/>
                <w:sz w:val="20"/>
                <w:lang w:val="de-AT"/>
              </w:rPr>
            </w:pPr>
            <w:r w:rsidRPr="00A577DF">
              <w:rPr>
                <w:bCs/>
                <w:color w:val="000000"/>
                <w:sz w:val="20"/>
                <w:lang w:val="de-AT"/>
              </w:rPr>
              <w:t xml:space="preserve">Absatzfinanzierung </w:t>
            </w:r>
          </w:p>
        </w:tc>
        <w:tc>
          <w:tcPr>
            <w:tcW w:w="1155" w:type="dxa"/>
            <w:tcBorders>
              <w:top w:val="nil"/>
              <w:left w:val="single" w:sz="4" w:space="0" w:color="auto"/>
              <w:bottom w:val="single" w:sz="4" w:space="0" w:color="auto"/>
              <w:right w:val="single" w:sz="4" w:space="0" w:color="auto"/>
            </w:tcBorders>
          </w:tcPr>
          <w:p w14:paraId="04052205" w14:textId="77777777" w:rsidR="00D26979" w:rsidRPr="00A577DF" w:rsidRDefault="008B6935">
            <w:pPr>
              <w:tabs>
                <w:tab w:val="decimal" w:pos="505"/>
              </w:tabs>
              <w:jc w:val="right"/>
              <w:rPr>
                <w:color w:val="000000"/>
                <w:sz w:val="20"/>
                <w:lang w:val="de-AT"/>
              </w:rPr>
            </w:pPr>
            <w:r w:rsidRPr="00A577DF">
              <w:rPr>
                <w:color w:val="000000"/>
                <w:sz w:val="20"/>
                <w:lang w:val="de-AT"/>
              </w:rPr>
              <w:t>759</w:t>
            </w:r>
          </w:p>
        </w:tc>
        <w:tc>
          <w:tcPr>
            <w:tcW w:w="1155" w:type="dxa"/>
            <w:tcBorders>
              <w:top w:val="nil"/>
              <w:left w:val="single" w:sz="4" w:space="0" w:color="auto"/>
              <w:bottom w:val="single" w:sz="4" w:space="0" w:color="auto"/>
              <w:right w:val="single" w:sz="4" w:space="0" w:color="auto"/>
            </w:tcBorders>
            <w:vAlign w:val="bottom"/>
          </w:tcPr>
          <w:p w14:paraId="53F6C7D2" w14:textId="77777777" w:rsidR="00D26979" w:rsidRPr="00A577DF" w:rsidRDefault="008B6935">
            <w:pPr>
              <w:tabs>
                <w:tab w:val="decimal" w:pos="505"/>
              </w:tabs>
              <w:jc w:val="right"/>
              <w:rPr>
                <w:color w:val="000000"/>
                <w:sz w:val="20"/>
                <w:lang w:val="de-AT"/>
              </w:rPr>
            </w:pPr>
            <w:r w:rsidRPr="00A577DF">
              <w:rPr>
                <w:color w:val="000000"/>
                <w:sz w:val="20"/>
                <w:lang w:val="de-AT"/>
              </w:rPr>
              <w:t>737</w:t>
            </w:r>
          </w:p>
        </w:tc>
        <w:tc>
          <w:tcPr>
            <w:tcW w:w="1260" w:type="dxa"/>
            <w:tcBorders>
              <w:top w:val="nil"/>
              <w:left w:val="single" w:sz="4" w:space="0" w:color="auto"/>
              <w:bottom w:val="single" w:sz="4" w:space="0" w:color="auto"/>
              <w:right w:val="single" w:sz="8" w:space="0" w:color="auto"/>
            </w:tcBorders>
            <w:shd w:val="clear" w:color="auto" w:fill="auto"/>
            <w:vAlign w:val="bottom"/>
          </w:tcPr>
          <w:p w14:paraId="3D5CB15C" w14:textId="77777777" w:rsidR="00D26979" w:rsidRPr="00A577DF" w:rsidRDefault="008B6935">
            <w:pPr>
              <w:tabs>
                <w:tab w:val="decimal" w:pos="525"/>
              </w:tabs>
              <w:jc w:val="right"/>
              <w:rPr>
                <w:color w:val="000000"/>
                <w:sz w:val="20"/>
                <w:lang w:val="de-AT"/>
              </w:rPr>
            </w:pPr>
            <w:r w:rsidRPr="00A577DF">
              <w:rPr>
                <w:color w:val="000000"/>
                <w:sz w:val="20"/>
                <w:lang w:val="de-AT"/>
              </w:rPr>
              <w:t>-2</w:t>
            </w:r>
            <w:r w:rsidR="009E19F3" w:rsidRPr="00A577DF">
              <w:rPr>
                <w:color w:val="000000"/>
                <w:sz w:val="20"/>
                <w:lang w:val="de-AT"/>
              </w:rPr>
              <w:t>.</w:t>
            </w:r>
            <w:r w:rsidRPr="00A577DF">
              <w:rPr>
                <w:color w:val="000000"/>
                <w:sz w:val="20"/>
                <w:lang w:val="de-AT"/>
              </w:rPr>
              <w:t>9%</w:t>
            </w:r>
          </w:p>
        </w:tc>
      </w:tr>
      <w:tr w:rsidR="009A61FE" w:rsidRPr="00A577DF" w14:paraId="2793BA0B" w14:textId="77777777" w:rsidTr="00942A54">
        <w:trPr>
          <w:trHeight w:val="152"/>
        </w:trPr>
        <w:tc>
          <w:tcPr>
            <w:tcW w:w="3544" w:type="dxa"/>
            <w:tcBorders>
              <w:top w:val="single" w:sz="4" w:space="0" w:color="auto"/>
              <w:left w:val="single" w:sz="8" w:space="0" w:color="auto"/>
              <w:bottom w:val="single" w:sz="4" w:space="0" w:color="auto"/>
              <w:right w:val="single" w:sz="8" w:space="0" w:color="auto"/>
            </w:tcBorders>
            <w:shd w:val="clear" w:color="auto" w:fill="auto"/>
          </w:tcPr>
          <w:p w14:paraId="126FF744" w14:textId="77777777" w:rsidR="00D26979" w:rsidRPr="00A577DF" w:rsidRDefault="008B6935">
            <w:pPr>
              <w:tabs>
                <w:tab w:val="decimal" w:pos="505"/>
              </w:tabs>
              <w:rPr>
                <w:b/>
                <w:bCs/>
                <w:color w:val="000000"/>
                <w:sz w:val="22"/>
                <w:szCs w:val="22"/>
                <w:lang w:val="de-AT"/>
              </w:rPr>
            </w:pPr>
            <w:r w:rsidRPr="00A577DF">
              <w:rPr>
                <w:b/>
                <w:bCs/>
                <w:color w:val="000000"/>
                <w:sz w:val="22"/>
                <w:szCs w:val="22"/>
                <w:lang w:val="de-AT"/>
              </w:rPr>
              <w:t>Insgesamt</w:t>
            </w:r>
          </w:p>
        </w:tc>
        <w:tc>
          <w:tcPr>
            <w:tcW w:w="1155" w:type="dxa"/>
            <w:tcBorders>
              <w:top w:val="single" w:sz="4" w:space="0" w:color="auto"/>
              <w:left w:val="single" w:sz="4" w:space="0" w:color="auto"/>
              <w:bottom w:val="single" w:sz="4" w:space="0" w:color="auto"/>
              <w:right w:val="single" w:sz="4" w:space="0" w:color="auto"/>
            </w:tcBorders>
          </w:tcPr>
          <w:p w14:paraId="6C6DABFD" w14:textId="77777777" w:rsidR="00D26979" w:rsidRPr="00A577DF" w:rsidRDefault="008B6935">
            <w:pPr>
              <w:tabs>
                <w:tab w:val="decimal" w:pos="505"/>
              </w:tabs>
              <w:jc w:val="right"/>
              <w:rPr>
                <w:b/>
                <w:bCs/>
                <w:color w:val="000000"/>
                <w:sz w:val="22"/>
                <w:szCs w:val="22"/>
                <w:lang w:val="de-AT"/>
              </w:rPr>
            </w:pPr>
            <w:r w:rsidRPr="00A577DF">
              <w:rPr>
                <w:b/>
                <w:bCs/>
                <w:color w:val="000000"/>
                <w:sz w:val="22"/>
                <w:szCs w:val="22"/>
                <w:lang w:val="de-AT"/>
              </w:rPr>
              <w:t>10</w:t>
            </w:r>
            <w:r w:rsidR="00942A54" w:rsidRPr="00A577DF">
              <w:rPr>
                <w:b/>
                <w:bCs/>
                <w:color w:val="000000"/>
                <w:sz w:val="22"/>
                <w:szCs w:val="22"/>
                <w:lang w:val="de-AT"/>
              </w:rPr>
              <w:t>,</w:t>
            </w:r>
            <w:r w:rsidRPr="00A577DF">
              <w:rPr>
                <w:b/>
                <w:bCs/>
                <w:color w:val="000000"/>
                <w:sz w:val="22"/>
                <w:szCs w:val="22"/>
                <w:lang w:val="de-AT"/>
              </w:rPr>
              <w:t>015</w:t>
            </w:r>
          </w:p>
        </w:tc>
        <w:tc>
          <w:tcPr>
            <w:tcW w:w="1155" w:type="dxa"/>
            <w:tcBorders>
              <w:top w:val="single" w:sz="4" w:space="0" w:color="auto"/>
              <w:left w:val="single" w:sz="4" w:space="0" w:color="auto"/>
              <w:bottom w:val="single" w:sz="4" w:space="0" w:color="auto"/>
              <w:right w:val="single" w:sz="4" w:space="0" w:color="auto"/>
            </w:tcBorders>
            <w:vAlign w:val="bottom"/>
          </w:tcPr>
          <w:p w14:paraId="466C0345" w14:textId="77777777" w:rsidR="00D26979" w:rsidRPr="00A577DF" w:rsidRDefault="008B6935">
            <w:pPr>
              <w:tabs>
                <w:tab w:val="decimal" w:pos="505"/>
              </w:tabs>
              <w:jc w:val="right"/>
              <w:rPr>
                <w:rFonts w:cs="Arial"/>
                <w:b/>
                <w:bCs/>
                <w:color w:val="000000"/>
                <w:sz w:val="20"/>
                <w:lang w:val="de-AT"/>
              </w:rPr>
            </w:pPr>
            <w:r w:rsidRPr="00A577DF">
              <w:rPr>
                <w:b/>
                <w:bCs/>
                <w:color w:val="000000"/>
                <w:sz w:val="22"/>
                <w:szCs w:val="22"/>
                <w:lang w:val="de-AT"/>
              </w:rPr>
              <w:t>9</w:t>
            </w:r>
            <w:r w:rsidR="00942A54" w:rsidRPr="00A577DF">
              <w:rPr>
                <w:b/>
                <w:bCs/>
                <w:color w:val="000000"/>
                <w:sz w:val="22"/>
                <w:szCs w:val="22"/>
                <w:lang w:val="de-AT"/>
              </w:rPr>
              <w:t>,</w:t>
            </w:r>
            <w:r w:rsidRPr="00A577DF">
              <w:rPr>
                <w:b/>
                <w:bCs/>
                <w:color w:val="000000"/>
                <w:sz w:val="22"/>
                <w:szCs w:val="22"/>
                <w:lang w:val="de-AT"/>
              </w:rPr>
              <w:t>748</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bottom"/>
          </w:tcPr>
          <w:p w14:paraId="38C6395F" w14:textId="77777777" w:rsidR="00D26979" w:rsidRPr="00A577DF" w:rsidRDefault="008B6935">
            <w:pPr>
              <w:tabs>
                <w:tab w:val="decimal" w:pos="525"/>
              </w:tabs>
              <w:jc w:val="right"/>
              <w:rPr>
                <w:rFonts w:cs="Arial"/>
                <w:b/>
                <w:bCs/>
                <w:color w:val="000000"/>
                <w:sz w:val="20"/>
                <w:lang w:val="de-AT"/>
              </w:rPr>
            </w:pPr>
            <w:r w:rsidRPr="00A577DF">
              <w:rPr>
                <w:b/>
                <w:bCs/>
                <w:color w:val="000000"/>
                <w:sz w:val="22"/>
                <w:szCs w:val="22"/>
                <w:lang w:val="de-AT"/>
              </w:rPr>
              <w:t>-2</w:t>
            </w:r>
            <w:r w:rsidR="00113A11" w:rsidRPr="00A577DF">
              <w:rPr>
                <w:b/>
                <w:bCs/>
                <w:color w:val="000000"/>
                <w:sz w:val="22"/>
                <w:szCs w:val="22"/>
                <w:lang w:val="de-AT"/>
              </w:rPr>
              <w:t>.</w:t>
            </w:r>
            <w:r w:rsidRPr="00A577DF">
              <w:rPr>
                <w:b/>
                <w:bCs/>
                <w:color w:val="000000"/>
                <w:sz w:val="22"/>
                <w:szCs w:val="22"/>
                <w:lang w:val="de-AT"/>
              </w:rPr>
              <w:t>7%</w:t>
            </w:r>
          </w:p>
        </w:tc>
      </w:tr>
    </w:tbl>
    <w:p w14:paraId="69550B3D" w14:textId="11E72FDC" w:rsidR="00D26979" w:rsidRPr="00A577DF" w:rsidRDefault="008B6935">
      <w:pPr>
        <w:pStyle w:val="RGTitre1"/>
        <w:jc w:val="both"/>
        <w:rPr>
          <w:rFonts w:ascii="Renault Group" w:eastAsia="Renault Group" w:hAnsi="Renault Group" w:cs="Times New Roman"/>
          <w:color w:val="988C7F"/>
          <w:lang w:val="de-AT"/>
        </w:rPr>
      </w:pPr>
      <w:bookmarkStart w:id="5" w:name="_Hlk85114245"/>
      <w:r w:rsidRPr="00A577DF">
        <w:rPr>
          <w:color w:val="988C7F"/>
          <w:lang w:val="de-AT"/>
        </w:rPr>
        <w:t xml:space="preserve"> Die 15 wichtigsten </w:t>
      </w:r>
      <w:proofErr w:type="gramStart"/>
      <w:r w:rsidRPr="00A577DF">
        <w:rPr>
          <w:color w:val="988C7F"/>
          <w:lang w:val="de-AT"/>
        </w:rPr>
        <w:t>Märkte  der</w:t>
      </w:r>
      <w:proofErr w:type="gramEnd"/>
      <w:r w:rsidRPr="00A577DF">
        <w:rPr>
          <w:color w:val="988C7F"/>
          <w:lang w:val="de-AT"/>
        </w:rPr>
        <w:t xml:space="preserve"> </w:t>
      </w:r>
      <w:r w:rsidR="000B349B">
        <w:rPr>
          <w:color w:val="988C7F"/>
          <w:lang w:val="de-AT"/>
        </w:rPr>
        <w:t>Renault Group</w:t>
      </w:r>
      <w:r w:rsidRPr="00A577DF">
        <w:rPr>
          <w:color w:val="988C7F"/>
          <w:lang w:val="de-AT"/>
        </w:rPr>
        <w:t xml:space="preserve"> Ende März 2022</w:t>
      </w:r>
    </w:p>
    <w:tbl>
      <w:tblPr>
        <w:tblW w:w="7570"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827"/>
        <w:gridCol w:w="1360"/>
        <w:gridCol w:w="1532"/>
      </w:tblGrid>
      <w:tr w:rsidR="0064525B" w:rsidRPr="00A577DF" w14:paraId="1A3BCE31" w14:textId="77777777" w:rsidTr="00113A11">
        <w:trPr>
          <w:trHeight w:val="446"/>
        </w:trPr>
        <w:tc>
          <w:tcPr>
            <w:tcW w:w="851" w:type="dxa"/>
            <w:tcBorders>
              <w:top w:val="single" w:sz="4" w:space="0" w:color="auto"/>
              <w:bottom w:val="single" w:sz="4" w:space="0" w:color="auto"/>
            </w:tcBorders>
            <w:shd w:val="clear" w:color="auto" w:fill="auto"/>
            <w:noWrap/>
            <w:vAlign w:val="bottom"/>
            <w:hideMark/>
          </w:tcPr>
          <w:p w14:paraId="7E9D1BCB" w14:textId="77777777" w:rsidR="0064525B" w:rsidRPr="00A577DF" w:rsidRDefault="0064525B" w:rsidP="005261FF">
            <w:pPr>
              <w:spacing w:line="240" w:lineRule="auto"/>
              <w:jc w:val="center"/>
              <w:rPr>
                <w:rFonts w:eastAsia="Times New Roman" w:cs="Arial"/>
                <w:b/>
                <w:bCs/>
                <w:sz w:val="20"/>
                <w:lang w:val="de-AT" w:eastAsia="fr-FR"/>
              </w:rPr>
            </w:pPr>
          </w:p>
        </w:tc>
        <w:tc>
          <w:tcPr>
            <w:tcW w:w="3827" w:type="dxa"/>
            <w:tcBorders>
              <w:top w:val="single" w:sz="4" w:space="0" w:color="auto"/>
              <w:bottom w:val="single" w:sz="4" w:space="0" w:color="auto"/>
            </w:tcBorders>
            <w:shd w:val="clear" w:color="auto" w:fill="auto"/>
            <w:noWrap/>
            <w:vAlign w:val="bottom"/>
            <w:hideMark/>
          </w:tcPr>
          <w:p w14:paraId="6C402584" w14:textId="350A838E" w:rsidR="00D26979" w:rsidRPr="00A577DF" w:rsidRDefault="008B6935">
            <w:pPr>
              <w:spacing w:line="240" w:lineRule="auto"/>
              <w:jc w:val="center"/>
              <w:rPr>
                <w:rFonts w:eastAsia="Times New Roman" w:cs="Arial"/>
                <w:b/>
                <w:bCs/>
                <w:sz w:val="20"/>
                <w:lang w:val="de-AT" w:eastAsia="fr-FR"/>
              </w:rPr>
            </w:pPr>
            <w:r w:rsidRPr="00A577DF">
              <w:rPr>
                <w:b/>
                <w:bCs/>
                <w:sz w:val="20"/>
                <w:lang w:val="de-AT" w:eastAsia="fr-FR"/>
              </w:rPr>
              <w:t xml:space="preserve">Jahr bis </w:t>
            </w:r>
            <w:r w:rsidR="00FD4659">
              <w:rPr>
                <w:b/>
                <w:bCs/>
                <w:sz w:val="20"/>
                <w:lang w:val="de-AT" w:eastAsia="fr-FR"/>
              </w:rPr>
              <w:t>Ende</w:t>
            </w:r>
            <w:r w:rsidRPr="00A577DF">
              <w:rPr>
                <w:b/>
                <w:bCs/>
                <w:sz w:val="20"/>
                <w:lang w:val="de-AT" w:eastAsia="fr-FR"/>
              </w:rPr>
              <w:t xml:space="preserve"> </w:t>
            </w:r>
            <w:r w:rsidR="0064525B" w:rsidRPr="00A577DF">
              <w:rPr>
                <w:b/>
                <w:bCs/>
                <w:sz w:val="20"/>
                <w:lang w:val="de-AT" w:eastAsia="fr-FR"/>
              </w:rPr>
              <w:t>März 2022</w:t>
            </w:r>
          </w:p>
        </w:tc>
        <w:tc>
          <w:tcPr>
            <w:tcW w:w="1360" w:type="dxa"/>
            <w:tcBorders>
              <w:top w:val="single" w:sz="4" w:space="0" w:color="auto"/>
              <w:bottom w:val="single" w:sz="4" w:space="0" w:color="auto"/>
            </w:tcBorders>
            <w:shd w:val="clear" w:color="auto" w:fill="auto"/>
            <w:vAlign w:val="bottom"/>
            <w:hideMark/>
          </w:tcPr>
          <w:p w14:paraId="73EC3302" w14:textId="2AE040AA" w:rsidR="00D26979" w:rsidRPr="00A577DF" w:rsidRDefault="00CF252A">
            <w:pPr>
              <w:spacing w:line="240" w:lineRule="auto"/>
              <w:jc w:val="right"/>
              <w:rPr>
                <w:rFonts w:eastAsia="Times New Roman" w:cs="Arial"/>
                <w:b/>
                <w:bCs/>
                <w:sz w:val="20"/>
                <w:lang w:val="de-AT" w:eastAsia="fr-FR"/>
              </w:rPr>
            </w:pPr>
            <w:r>
              <w:rPr>
                <w:b/>
                <w:bCs/>
                <w:sz w:val="20"/>
                <w:lang w:val="de-AT" w:eastAsia="fr-FR"/>
              </w:rPr>
              <w:t>Volumen</w:t>
            </w:r>
            <w:r w:rsidR="008B6935" w:rsidRPr="00A577DF">
              <w:rPr>
                <w:b/>
                <w:bCs/>
                <w:sz w:val="20"/>
                <w:lang w:val="de-AT" w:eastAsia="fr-FR"/>
              </w:rPr>
              <w:t xml:space="preserve"> </w:t>
            </w:r>
            <w:r w:rsidR="008B6935" w:rsidRPr="00A577DF">
              <w:rPr>
                <w:b/>
                <w:bCs/>
                <w:sz w:val="20"/>
                <w:vertAlign w:val="superscript"/>
                <w:lang w:val="de-AT" w:eastAsia="fr-FR"/>
              </w:rPr>
              <w:t>(1)</w:t>
            </w:r>
          </w:p>
          <w:p w14:paraId="476DCFE2" w14:textId="77777777" w:rsidR="00D26979" w:rsidRPr="00A577DF" w:rsidRDefault="008B6935">
            <w:pPr>
              <w:spacing w:line="240" w:lineRule="auto"/>
              <w:jc w:val="right"/>
              <w:rPr>
                <w:rFonts w:eastAsia="Times New Roman" w:cs="Arial"/>
                <w:b/>
                <w:bCs/>
                <w:sz w:val="20"/>
                <w:lang w:val="de-AT" w:eastAsia="fr-FR"/>
              </w:rPr>
            </w:pPr>
            <w:r w:rsidRPr="00A577DF">
              <w:rPr>
                <w:b/>
                <w:bCs/>
                <w:sz w:val="20"/>
                <w:lang w:val="de-AT" w:eastAsia="fr-FR"/>
              </w:rPr>
              <w:t>(in Einheiten)</w:t>
            </w:r>
          </w:p>
        </w:tc>
        <w:tc>
          <w:tcPr>
            <w:tcW w:w="1532" w:type="dxa"/>
            <w:tcBorders>
              <w:top w:val="single" w:sz="4" w:space="0" w:color="auto"/>
              <w:bottom w:val="single" w:sz="4" w:space="0" w:color="auto"/>
            </w:tcBorders>
            <w:shd w:val="clear" w:color="auto" w:fill="auto"/>
            <w:vAlign w:val="bottom"/>
            <w:hideMark/>
          </w:tcPr>
          <w:p w14:paraId="5ACCEA31" w14:textId="77777777" w:rsidR="00D26979" w:rsidRPr="00A577DF" w:rsidRDefault="008B6935">
            <w:pPr>
              <w:spacing w:line="240" w:lineRule="auto"/>
              <w:jc w:val="right"/>
              <w:rPr>
                <w:rFonts w:eastAsia="Times New Roman" w:cs="Arial"/>
                <w:b/>
                <w:bCs/>
                <w:sz w:val="20"/>
                <w:lang w:val="de-AT" w:eastAsia="fr-FR"/>
              </w:rPr>
            </w:pPr>
            <w:r w:rsidRPr="00A577DF">
              <w:rPr>
                <w:b/>
                <w:bCs/>
                <w:sz w:val="20"/>
                <w:lang w:val="de-AT" w:eastAsia="fr-FR"/>
              </w:rPr>
              <w:t xml:space="preserve">PC+ </w:t>
            </w:r>
            <w:r w:rsidR="008206B0" w:rsidRPr="00A577DF">
              <w:rPr>
                <w:b/>
                <w:bCs/>
                <w:sz w:val="20"/>
                <w:lang w:val="de-AT" w:eastAsia="fr-FR"/>
              </w:rPr>
              <w:t>LCV-Marktanteil</w:t>
            </w:r>
          </w:p>
          <w:p w14:paraId="02413285" w14:textId="77777777" w:rsidR="00D26979" w:rsidRPr="00A577DF" w:rsidRDefault="008B6935">
            <w:pPr>
              <w:spacing w:line="240" w:lineRule="auto"/>
              <w:jc w:val="right"/>
              <w:rPr>
                <w:rFonts w:eastAsia="Times New Roman" w:cs="Arial"/>
                <w:b/>
                <w:bCs/>
                <w:sz w:val="20"/>
                <w:lang w:val="de-AT" w:eastAsia="fr-FR"/>
              </w:rPr>
            </w:pPr>
            <w:r w:rsidRPr="00A577DF">
              <w:rPr>
                <w:b/>
                <w:bCs/>
                <w:sz w:val="20"/>
                <w:lang w:val="de-AT" w:eastAsia="fr-FR"/>
              </w:rPr>
              <w:t>(%)</w:t>
            </w:r>
          </w:p>
        </w:tc>
      </w:tr>
      <w:tr w:rsidR="0064525B" w:rsidRPr="00A577DF" w14:paraId="20A73F59" w14:textId="77777777" w:rsidTr="00113A11">
        <w:trPr>
          <w:trHeight w:val="312"/>
        </w:trPr>
        <w:tc>
          <w:tcPr>
            <w:tcW w:w="851" w:type="dxa"/>
            <w:tcBorders>
              <w:top w:val="single" w:sz="4" w:space="0" w:color="auto"/>
            </w:tcBorders>
            <w:shd w:val="clear" w:color="auto" w:fill="auto"/>
            <w:noWrap/>
            <w:vAlign w:val="center"/>
            <w:hideMark/>
          </w:tcPr>
          <w:p w14:paraId="0361F849"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w:t>
            </w:r>
          </w:p>
        </w:tc>
        <w:tc>
          <w:tcPr>
            <w:tcW w:w="3827" w:type="dxa"/>
            <w:tcBorders>
              <w:top w:val="single" w:sz="4" w:space="0" w:color="auto"/>
            </w:tcBorders>
            <w:shd w:val="clear" w:color="auto" w:fill="auto"/>
            <w:noWrap/>
            <w:hideMark/>
          </w:tcPr>
          <w:p w14:paraId="607EC1C3" w14:textId="77777777" w:rsidR="00D26979" w:rsidRPr="00A577DF" w:rsidRDefault="008B6935">
            <w:pPr>
              <w:spacing w:line="240" w:lineRule="auto"/>
              <w:rPr>
                <w:rFonts w:eastAsia="Times New Roman" w:cs="Arial"/>
                <w:sz w:val="20"/>
                <w:lang w:val="de-AT" w:eastAsia="fr-FR"/>
              </w:rPr>
            </w:pPr>
            <w:r w:rsidRPr="00A577DF">
              <w:rPr>
                <w:sz w:val="20"/>
                <w:lang w:val="de-AT"/>
              </w:rPr>
              <w:t>FRANKREICH</w:t>
            </w:r>
          </w:p>
        </w:tc>
        <w:tc>
          <w:tcPr>
            <w:tcW w:w="1360" w:type="dxa"/>
            <w:tcBorders>
              <w:top w:val="single" w:sz="4" w:space="0" w:color="auto"/>
            </w:tcBorders>
            <w:shd w:val="clear" w:color="auto" w:fill="auto"/>
            <w:noWrap/>
            <w:vAlign w:val="bottom"/>
          </w:tcPr>
          <w:p w14:paraId="79DC4D59"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104</w:t>
            </w:r>
            <w:r w:rsidR="003E03B6" w:rsidRPr="00A577DF">
              <w:rPr>
                <w:sz w:val="20"/>
                <w:lang w:val="de-AT"/>
              </w:rPr>
              <w:t>,</w:t>
            </w:r>
            <w:r w:rsidRPr="00A577DF">
              <w:rPr>
                <w:sz w:val="20"/>
                <w:lang w:val="de-AT"/>
              </w:rPr>
              <w:t>145</w:t>
            </w:r>
          </w:p>
        </w:tc>
        <w:tc>
          <w:tcPr>
            <w:tcW w:w="1532" w:type="dxa"/>
            <w:tcBorders>
              <w:top w:val="single" w:sz="4" w:space="0" w:color="auto"/>
            </w:tcBorders>
            <w:shd w:val="clear" w:color="auto" w:fill="auto"/>
            <w:noWrap/>
            <w:vAlign w:val="bottom"/>
          </w:tcPr>
          <w:p w14:paraId="139044AC"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22</w:t>
            </w:r>
            <w:r w:rsidR="00F91FEC" w:rsidRPr="00A577DF">
              <w:rPr>
                <w:sz w:val="20"/>
                <w:lang w:val="de-AT"/>
              </w:rPr>
              <w:t>.</w:t>
            </w:r>
            <w:r w:rsidRPr="00A577DF">
              <w:rPr>
                <w:sz w:val="20"/>
                <w:lang w:val="de-AT"/>
              </w:rPr>
              <w:t>8</w:t>
            </w:r>
          </w:p>
        </w:tc>
      </w:tr>
      <w:tr w:rsidR="0064525B" w:rsidRPr="00A577DF" w14:paraId="2DC2CC1E" w14:textId="77777777" w:rsidTr="00113A11">
        <w:trPr>
          <w:trHeight w:val="312"/>
        </w:trPr>
        <w:tc>
          <w:tcPr>
            <w:tcW w:w="851" w:type="dxa"/>
            <w:shd w:val="clear" w:color="auto" w:fill="auto"/>
            <w:noWrap/>
            <w:vAlign w:val="center"/>
            <w:hideMark/>
          </w:tcPr>
          <w:p w14:paraId="4B35EA09"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2</w:t>
            </w:r>
          </w:p>
        </w:tc>
        <w:tc>
          <w:tcPr>
            <w:tcW w:w="3827" w:type="dxa"/>
            <w:shd w:val="clear" w:color="auto" w:fill="auto"/>
            <w:noWrap/>
            <w:hideMark/>
          </w:tcPr>
          <w:p w14:paraId="6E6037A7" w14:textId="77777777" w:rsidR="00D26979" w:rsidRPr="00A577DF" w:rsidRDefault="008B6935">
            <w:pPr>
              <w:spacing w:line="240" w:lineRule="auto"/>
              <w:rPr>
                <w:rFonts w:cs="Arial"/>
                <w:sz w:val="20"/>
                <w:lang w:val="de-AT"/>
              </w:rPr>
            </w:pPr>
            <w:r w:rsidRPr="00A577DF">
              <w:rPr>
                <w:sz w:val="20"/>
                <w:lang w:val="de-AT"/>
              </w:rPr>
              <w:t>RUSSLAND</w:t>
            </w:r>
          </w:p>
        </w:tc>
        <w:tc>
          <w:tcPr>
            <w:tcW w:w="1360" w:type="dxa"/>
            <w:shd w:val="clear" w:color="auto" w:fill="auto"/>
            <w:noWrap/>
            <w:vAlign w:val="bottom"/>
          </w:tcPr>
          <w:p w14:paraId="7C44007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75</w:t>
            </w:r>
            <w:r w:rsidR="003E03B6" w:rsidRPr="00A577DF">
              <w:rPr>
                <w:sz w:val="20"/>
                <w:lang w:val="de-AT"/>
              </w:rPr>
              <w:t>,</w:t>
            </w:r>
            <w:r w:rsidRPr="00A577DF">
              <w:rPr>
                <w:sz w:val="20"/>
                <w:lang w:val="de-AT"/>
              </w:rPr>
              <w:t>104</w:t>
            </w:r>
          </w:p>
        </w:tc>
        <w:tc>
          <w:tcPr>
            <w:tcW w:w="1532" w:type="dxa"/>
            <w:shd w:val="clear" w:color="auto" w:fill="auto"/>
            <w:noWrap/>
            <w:vAlign w:val="bottom"/>
          </w:tcPr>
          <w:p w14:paraId="57D1FC24"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27</w:t>
            </w:r>
            <w:r w:rsidR="00F91FEC" w:rsidRPr="00A577DF">
              <w:rPr>
                <w:sz w:val="20"/>
                <w:lang w:val="de-AT"/>
              </w:rPr>
              <w:t>.</w:t>
            </w:r>
            <w:r w:rsidRPr="00A577DF">
              <w:rPr>
                <w:sz w:val="20"/>
                <w:lang w:val="de-AT"/>
              </w:rPr>
              <w:t>1</w:t>
            </w:r>
          </w:p>
        </w:tc>
      </w:tr>
      <w:tr w:rsidR="0064525B" w:rsidRPr="00A577DF" w14:paraId="64D49310" w14:textId="77777777" w:rsidTr="00113A11">
        <w:trPr>
          <w:trHeight w:val="312"/>
        </w:trPr>
        <w:tc>
          <w:tcPr>
            <w:tcW w:w="851" w:type="dxa"/>
            <w:shd w:val="clear" w:color="auto" w:fill="auto"/>
            <w:noWrap/>
            <w:vAlign w:val="center"/>
            <w:hideMark/>
          </w:tcPr>
          <w:p w14:paraId="251D68FA"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3</w:t>
            </w:r>
          </w:p>
        </w:tc>
        <w:tc>
          <w:tcPr>
            <w:tcW w:w="3827" w:type="dxa"/>
            <w:shd w:val="clear" w:color="auto" w:fill="auto"/>
            <w:noWrap/>
            <w:hideMark/>
          </w:tcPr>
          <w:p w14:paraId="7450FCA2" w14:textId="77777777" w:rsidR="00D26979" w:rsidRPr="00A577DF" w:rsidRDefault="008B6935">
            <w:pPr>
              <w:spacing w:line="240" w:lineRule="auto"/>
              <w:rPr>
                <w:rFonts w:eastAsia="Times New Roman" w:cs="Arial"/>
                <w:sz w:val="20"/>
                <w:lang w:val="de-AT" w:eastAsia="fr-FR"/>
              </w:rPr>
            </w:pPr>
            <w:r w:rsidRPr="00A577DF">
              <w:rPr>
                <w:sz w:val="20"/>
                <w:lang w:val="de-AT"/>
              </w:rPr>
              <w:t>ITALIEN</w:t>
            </w:r>
          </w:p>
        </w:tc>
        <w:tc>
          <w:tcPr>
            <w:tcW w:w="1360" w:type="dxa"/>
            <w:shd w:val="clear" w:color="auto" w:fill="auto"/>
            <w:noWrap/>
            <w:vAlign w:val="bottom"/>
          </w:tcPr>
          <w:p w14:paraId="61F8CD6F" w14:textId="77777777" w:rsidR="00D26979" w:rsidRPr="00A577DF" w:rsidRDefault="008B6935">
            <w:pPr>
              <w:spacing w:line="240" w:lineRule="auto"/>
              <w:jc w:val="right"/>
              <w:rPr>
                <w:rFonts w:eastAsia="Times New Roman" w:cs="Arial"/>
                <w:sz w:val="20"/>
                <w:lang w:val="de-AT" w:eastAsia="fr-FR"/>
              </w:rPr>
            </w:pPr>
            <w:r w:rsidRPr="00A577DF">
              <w:rPr>
                <w:sz w:val="20"/>
                <w:lang w:val="de-AT"/>
              </w:rPr>
              <w:t>38</w:t>
            </w:r>
            <w:r w:rsidR="003E03B6" w:rsidRPr="00A577DF">
              <w:rPr>
                <w:sz w:val="20"/>
                <w:lang w:val="de-AT"/>
              </w:rPr>
              <w:t>,</w:t>
            </w:r>
            <w:r w:rsidRPr="00A577DF">
              <w:rPr>
                <w:sz w:val="20"/>
                <w:lang w:val="de-AT"/>
              </w:rPr>
              <w:t>918</w:t>
            </w:r>
          </w:p>
        </w:tc>
        <w:tc>
          <w:tcPr>
            <w:tcW w:w="1532" w:type="dxa"/>
            <w:shd w:val="clear" w:color="auto" w:fill="auto"/>
            <w:noWrap/>
            <w:vAlign w:val="bottom"/>
          </w:tcPr>
          <w:p w14:paraId="20EDFB76" w14:textId="77777777" w:rsidR="00D26979" w:rsidRPr="00A577DF" w:rsidRDefault="008B6935">
            <w:pPr>
              <w:spacing w:line="240" w:lineRule="auto"/>
              <w:jc w:val="right"/>
              <w:rPr>
                <w:rFonts w:eastAsia="Times New Roman" w:cs="Arial"/>
                <w:sz w:val="20"/>
                <w:lang w:val="de-AT" w:eastAsia="fr-FR"/>
              </w:rPr>
            </w:pPr>
            <w:r w:rsidRPr="00A577DF">
              <w:rPr>
                <w:sz w:val="20"/>
                <w:lang w:val="de-AT"/>
              </w:rPr>
              <w:t>9</w:t>
            </w:r>
            <w:r w:rsidR="00F91FEC" w:rsidRPr="00A577DF">
              <w:rPr>
                <w:sz w:val="20"/>
                <w:lang w:val="de-AT"/>
              </w:rPr>
              <w:t>.</w:t>
            </w:r>
            <w:r w:rsidRPr="00A577DF">
              <w:rPr>
                <w:sz w:val="20"/>
                <w:lang w:val="de-AT"/>
              </w:rPr>
              <w:t>9</w:t>
            </w:r>
          </w:p>
        </w:tc>
      </w:tr>
      <w:tr w:rsidR="0064525B" w:rsidRPr="00A577DF" w14:paraId="73E331D2" w14:textId="77777777" w:rsidTr="00113A11">
        <w:trPr>
          <w:trHeight w:val="312"/>
        </w:trPr>
        <w:tc>
          <w:tcPr>
            <w:tcW w:w="851" w:type="dxa"/>
            <w:shd w:val="clear" w:color="auto" w:fill="auto"/>
            <w:noWrap/>
            <w:vAlign w:val="center"/>
            <w:hideMark/>
          </w:tcPr>
          <w:p w14:paraId="4A1ACBAA"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4</w:t>
            </w:r>
          </w:p>
        </w:tc>
        <w:tc>
          <w:tcPr>
            <w:tcW w:w="3827" w:type="dxa"/>
            <w:shd w:val="clear" w:color="auto" w:fill="auto"/>
            <w:noWrap/>
            <w:hideMark/>
          </w:tcPr>
          <w:p w14:paraId="01042675" w14:textId="77777777" w:rsidR="00D26979" w:rsidRPr="00A577DF" w:rsidRDefault="008B6935">
            <w:pPr>
              <w:spacing w:line="240" w:lineRule="auto"/>
              <w:rPr>
                <w:rFonts w:eastAsia="Times New Roman" w:cs="Arial"/>
                <w:sz w:val="20"/>
                <w:lang w:val="de-AT" w:eastAsia="fr-FR"/>
              </w:rPr>
            </w:pPr>
            <w:r w:rsidRPr="00A577DF">
              <w:rPr>
                <w:sz w:val="20"/>
                <w:lang w:val="de-AT" w:eastAsia="fr-FR"/>
              </w:rPr>
              <w:t>DEUTSCHLAND</w:t>
            </w:r>
          </w:p>
        </w:tc>
        <w:tc>
          <w:tcPr>
            <w:tcW w:w="1360" w:type="dxa"/>
            <w:shd w:val="clear" w:color="auto" w:fill="auto"/>
            <w:noWrap/>
            <w:vAlign w:val="bottom"/>
          </w:tcPr>
          <w:p w14:paraId="174406FC" w14:textId="77777777" w:rsidR="00D26979" w:rsidRPr="00A577DF" w:rsidRDefault="008B6935">
            <w:pPr>
              <w:spacing w:line="240" w:lineRule="auto"/>
              <w:jc w:val="right"/>
              <w:rPr>
                <w:rFonts w:eastAsia="Times New Roman" w:cs="Arial"/>
                <w:sz w:val="20"/>
                <w:lang w:val="de-AT" w:eastAsia="fr-FR"/>
              </w:rPr>
            </w:pPr>
            <w:r w:rsidRPr="00A577DF">
              <w:rPr>
                <w:sz w:val="20"/>
                <w:lang w:val="de-AT"/>
              </w:rPr>
              <w:t>37</w:t>
            </w:r>
            <w:r w:rsidR="003E03B6" w:rsidRPr="00A577DF">
              <w:rPr>
                <w:sz w:val="20"/>
                <w:lang w:val="de-AT"/>
              </w:rPr>
              <w:t>,</w:t>
            </w:r>
            <w:r w:rsidRPr="00A577DF">
              <w:rPr>
                <w:sz w:val="20"/>
                <w:lang w:val="de-AT"/>
              </w:rPr>
              <w:t>382</w:t>
            </w:r>
          </w:p>
        </w:tc>
        <w:tc>
          <w:tcPr>
            <w:tcW w:w="1532" w:type="dxa"/>
            <w:shd w:val="clear" w:color="auto" w:fill="auto"/>
            <w:noWrap/>
            <w:vAlign w:val="bottom"/>
          </w:tcPr>
          <w:p w14:paraId="27CCB908" w14:textId="77777777" w:rsidR="00D26979" w:rsidRPr="00A577DF" w:rsidRDefault="008B6935">
            <w:pPr>
              <w:spacing w:line="240" w:lineRule="auto"/>
              <w:jc w:val="right"/>
              <w:rPr>
                <w:rFonts w:eastAsia="Times New Roman" w:cs="Arial"/>
                <w:sz w:val="20"/>
                <w:lang w:val="de-AT" w:eastAsia="fr-FR"/>
              </w:rPr>
            </w:pPr>
            <w:r w:rsidRPr="00A577DF">
              <w:rPr>
                <w:sz w:val="20"/>
                <w:lang w:val="de-AT"/>
              </w:rPr>
              <w:t>5</w:t>
            </w:r>
            <w:r w:rsidR="00F91FEC" w:rsidRPr="00A577DF">
              <w:rPr>
                <w:sz w:val="20"/>
                <w:lang w:val="de-AT"/>
              </w:rPr>
              <w:t>.</w:t>
            </w:r>
            <w:r w:rsidRPr="00A577DF">
              <w:rPr>
                <w:sz w:val="20"/>
                <w:lang w:val="de-AT"/>
              </w:rPr>
              <w:t>5</w:t>
            </w:r>
          </w:p>
        </w:tc>
      </w:tr>
      <w:tr w:rsidR="0064525B" w:rsidRPr="00A577DF" w14:paraId="50E41F34" w14:textId="77777777" w:rsidTr="00113A11">
        <w:trPr>
          <w:trHeight w:val="312"/>
        </w:trPr>
        <w:tc>
          <w:tcPr>
            <w:tcW w:w="851" w:type="dxa"/>
            <w:shd w:val="clear" w:color="auto" w:fill="auto"/>
            <w:noWrap/>
            <w:vAlign w:val="center"/>
            <w:hideMark/>
          </w:tcPr>
          <w:p w14:paraId="6DFB398A"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5</w:t>
            </w:r>
          </w:p>
        </w:tc>
        <w:tc>
          <w:tcPr>
            <w:tcW w:w="3827" w:type="dxa"/>
            <w:shd w:val="clear" w:color="auto" w:fill="auto"/>
            <w:noWrap/>
            <w:hideMark/>
          </w:tcPr>
          <w:p w14:paraId="59DB491C" w14:textId="77777777" w:rsidR="00D26979" w:rsidRPr="00A577DF" w:rsidRDefault="008B6935">
            <w:pPr>
              <w:spacing w:line="240" w:lineRule="auto"/>
              <w:rPr>
                <w:rFonts w:eastAsia="Times New Roman" w:cs="Arial"/>
                <w:sz w:val="20"/>
                <w:lang w:val="de-AT" w:eastAsia="fr-FR"/>
              </w:rPr>
            </w:pPr>
            <w:r w:rsidRPr="00A577DF">
              <w:rPr>
                <w:sz w:val="20"/>
                <w:lang w:val="de-AT"/>
              </w:rPr>
              <w:t>TÜRKEI</w:t>
            </w:r>
          </w:p>
        </w:tc>
        <w:tc>
          <w:tcPr>
            <w:tcW w:w="1360" w:type="dxa"/>
            <w:shd w:val="clear" w:color="auto" w:fill="auto"/>
            <w:noWrap/>
            <w:vAlign w:val="bottom"/>
          </w:tcPr>
          <w:p w14:paraId="4C90994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29</w:t>
            </w:r>
            <w:r w:rsidR="003E03B6" w:rsidRPr="00A577DF">
              <w:rPr>
                <w:sz w:val="20"/>
                <w:lang w:val="de-AT"/>
              </w:rPr>
              <w:t>,</w:t>
            </w:r>
            <w:r w:rsidRPr="00A577DF">
              <w:rPr>
                <w:sz w:val="20"/>
                <w:lang w:val="de-AT"/>
              </w:rPr>
              <w:t>648</w:t>
            </w:r>
          </w:p>
        </w:tc>
        <w:tc>
          <w:tcPr>
            <w:tcW w:w="1532" w:type="dxa"/>
            <w:shd w:val="clear" w:color="auto" w:fill="auto"/>
            <w:noWrap/>
            <w:vAlign w:val="bottom"/>
          </w:tcPr>
          <w:p w14:paraId="62542389"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19</w:t>
            </w:r>
            <w:r w:rsidR="00F91FEC" w:rsidRPr="00A577DF">
              <w:rPr>
                <w:sz w:val="20"/>
                <w:lang w:val="de-AT"/>
              </w:rPr>
              <w:t>.</w:t>
            </w:r>
            <w:r w:rsidRPr="00A577DF">
              <w:rPr>
                <w:sz w:val="20"/>
                <w:lang w:val="de-AT"/>
              </w:rPr>
              <w:t>5</w:t>
            </w:r>
          </w:p>
        </w:tc>
      </w:tr>
      <w:tr w:rsidR="0064525B" w:rsidRPr="00A577DF" w14:paraId="7BC84D31" w14:textId="77777777" w:rsidTr="00113A11">
        <w:trPr>
          <w:trHeight w:val="312"/>
        </w:trPr>
        <w:tc>
          <w:tcPr>
            <w:tcW w:w="851" w:type="dxa"/>
            <w:shd w:val="clear" w:color="auto" w:fill="auto"/>
            <w:noWrap/>
            <w:vAlign w:val="center"/>
            <w:hideMark/>
          </w:tcPr>
          <w:p w14:paraId="5A8DDEF6"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6</w:t>
            </w:r>
          </w:p>
        </w:tc>
        <w:tc>
          <w:tcPr>
            <w:tcW w:w="3827" w:type="dxa"/>
            <w:shd w:val="clear" w:color="auto" w:fill="auto"/>
            <w:noWrap/>
            <w:hideMark/>
          </w:tcPr>
          <w:p w14:paraId="0FAF71BD" w14:textId="77777777" w:rsidR="00D26979" w:rsidRPr="00A577DF" w:rsidRDefault="008B6935">
            <w:pPr>
              <w:spacing w:line="240" w:lineRule="auto"/>
              <w:rPr>
                <w:rFonts w:eastAsia="Times New Roman" w:cs="Arial"/>
                <w:sz w:val="20"/>
                <w:lang w:val="de-AT" w:eastAsia="fr-FR"/>
              </w:rPr>
            </w:pPr>
            <w:r w:rsidRPr="00A577DF">
              <w:rPr>
                <w:sz w:val="20"/>
                <w:lang w:val="de-AT"/>
              </w:rPr>
              <w:t xml:space="preserve">BRASILIEN </w:t>
            </w:r>
          </w:p>
        </w:tc>
        <w:tc>
          <w:tcPr>
            <w:tcW w:w="1360" w:type="dxa"/>
            <w:shd w:val="clear" w:color="auto" w:fill="auto"/>
            <w:noWrap/>
            <w:vAlign w:val="bottom"/>
          </w:tcPr>
          <w:p w14:paraId="58AB287D"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26</w:t>
            </w:r>
            <w:r w:rsidR="003E03B6" w:rsidRPr="00A577DF">
              <w:rPr>
                <w:sz w:val="20"/>
                <w:lang w:val="de-AT"/>
              </w:rPr>
              <w:t>,</w:t>
            </w:r>
            <w:r w:rsidRPr="00A577DF">
              <w:rPr>
                <w:sz w:val="20"/>
                <w:lang w:val="de-AT"/>
              </w:rPr>
              <w:t>048</w:t>
            </w:r>
          </w:p>
        </w:tc>
        <w:tc>
          <w:tcPr>
            <w:tcW w:w="1532" w:type="dxa"/>
            <w:shd w:val="clear" w:color="auto" w:fill="auto"/>
            <w:noWrap/>
            <w:vAlign w:val="bottom"/>
          </w:tcPr>
          <w:p w14:paraId="393D3288" w14:textId="77777777" w:rsidR="00D26979" w:rsidRPr="00A577DF" w:rsidRDefault="008B6935">
            <w:pPr>
              <w:spacing w:line="240" w:lineRule="auto"/>
              <w:jc w:val="right"/>
              <w:rPr>
                <w:rFonts w:eastAsia="Times New Roman" w:cs="Arial"/>
                <w:sz w:val="20"/>
                <w:lang w:val="de-AT" w:eastAsia="fr-FR"/>
              </w:rPr>
            </w:pPr>
            <w:r w:rsidRPr="00A577DF">
              <w:rPr>
                <w:sz w:val="20"/>
                <w:lang w:val="de-AT"/>
              </w:rPr>
              <w:t>7</w:t>
            </w:r>
            <w:r w:rsidR="00F91FEC" w:rsidRPr="00A577DF">
              <w:rPr>
                <w:sz w:val="20"/>
                <w:lang w:val="de-AT"/>
              </w:rPr>
              <w:t>.</w:t>
            </w:r>
            <w:r w:rsidRPr="00A577DF">
              <w:rPr>
                <w:sz w:val="20"/>
                <w:lang w:val="de-AT"/>
              </w:rPr>
              <w:t>0</w:t>
            </w:r>
          </w:p>
        </w:tc>
      </w:tr>
      <w:tr w:rsidR="0064525B" w:rsidRPr="00A577DF" w14:paraId="2B205F91" w14:textId="77777777" w:rsidTr="00113A11">
        <w:trPr>
          <w:trHeight w:val="312"/>
        </w:trPr>
        <w:tc>
          <w:tcPr>
            <w:tcW w:w="851" w:type="dxa"/>
            <w:shd w:val="clear" w:color="auto" w:fill="auto"/>
            <w:noWrap/>
            <w:vAlign w:val="center"/>
            <w:hideMark/>
          </w:tcPr>
          <w:p w14:paraId="4E463D12"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7</w:t>
            </w:r>
          </w:p>
        </w:tc>
        <w:tc>
          <w:tcPr>
            <w:tcW w:w="3827" w:type="dxa"/>
            <w:shd w:val="clear" w:color="auto" w:fill="auto"/>
            <w:noWrap/>
            <w:hideMark/>
          </w:tcPr>
          <w:p w14:paraId="77A1C782" w14:textId="77777777" w:rsidR="00D26979" w:rsidRPr="00A577DF" w:rsidRDefault="008B6935">
            <w:pPr>
              <w:spacing w:line="240" w:lineRule="auto"/>
              <w:rPr>
                <w:rFonts w:eastAsia="Times New Roman" w:cs="Arial"/>
                <w:sz w:val="20"/>
                <w:lang w:val="de-AT" w:eastAsia="fr-FR"/>
              </w:rPr>
            </w:pPr>
            <w:r w:rsidRPr="00A577DF">
              <w:rPr>
                <w:sz w:val="20"/>
                <w:lang w:val="de-AT" w:eastAsia="fr-FR"/>
              </w:rPr>
              <w:t>INDIEN</w:t>
            </w:r>
          </w:p>
        </w:tc>
        <w:tc>
          <w:tcPr>
            <w:tcW w:w="1360" w:type="dxa"/>
            <w:shd w:val="clear" w:color="auto" w:fill="auto"/>
            <w:noWrap/>
            <w:vAlign w:val="bottom"/>
          </w:tcPr>
          <w:p w14:paraId="146FBC9E"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23</w:t>
            </w:r>
            <w:r w:rsidR="003E03B6" w:rsidRPr="00A577DF">
              <w:rPr>
                <w:sz w:val="20"/>
                <w:lang w:val="de-AT"/>
              </w:rPr>
              <w:t>,</w:t>
            </w:r>
            <w:r w:rsidRPr="00A577DF">
              <w:rPr>
                <w:sz w:val="20"/>
                <w:lang w:val="de-AT"/>
              </w:rPr>
              <w:t>205</w:t>
            </w:r>
          </w:p>
        </w:tc>
        <w:tc>
          <w:tcPr>
            <w:tcW w:w="1532" w:type="dxa"/>
            <w:shd w:val="clear" w:color="auto" w:fill="auto"/>
            <w:noWrap/>
            <w:vAlign w:val="bottom"/>
          </w:tcPr>
          <w:p w14:paraId="1DA3AC94" w14:textId="77777777" w:rsidR="00D26979" w:rsidRPr="00A577DF" w:rsidRDefault="008B6935">
            <w:pPr>
              <w:spacing w:line="240" w:lineRule="auto"/>
              <w:jc w:val="right"/>
              <w:rPr>
                <w:rFonts w:eastAsia="Times New Roman" w:cs="Arial"/>
                <w:sz w:val="20"/>
                <w:lang w:val="de-AT" w:eastAsia="fr-FR"/>
              </w:rPr>
            </w:pPr>
            <w:r w:rsidRPr="00A577DF">
              <w:rPr>
                <w:sz w:val="20"/>
                <w:lang w:val="de-AT"/>
              </w:rPr>
              <w:t>2</w:t>
            </w:r>
            <w:r w:rsidR="00F91FEC" w:rsidRPr="00A577DF">
              <w:rPr>
                <w:sz w:val="20"/>
                <w:lang w:val="de-AT"/>
              </w:rPr>
              <w:t>.</w:t>
            </w:r>
            <w:r w:rsidRPr="00A577DF">
              <w:rPr>
                <w:sz w:val="20"/>
                <w:lang w:val="de-AT"/>
              </w:rPr>
              <w:t>2</w:t>
            </w:r>
          </w:p>
        </w:tc>
      </w:tr>
      <w:tr w:rsidR="0064525B" w:rsidRPr="00A577DF" w14:paraId="7151E980" w14:textId="77777777" w:rsidTr="00113A11">
        <w:trPr>
          <w:trHeight w:val="312"/>
        </w:trPr>
        <w:tc>
          <w:tcPr>
            <w:tcW w:w="851" w:type="dxa"/>
            <w:shd w:val="clear" w:color="auto" w:fill="auto"/>
            <w:noWrap/>
            <w:vAlign w:val="center"/>
            <w:hideMark/>
          </w:tcPr>
          <w:p w14:paraId="13FF0130"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8</w:t>
            </w:r>
          </w:p>
        </w:tc>
        <w:tc>
          <w:tcPr>
            <w:tcW w:w="3827" w:type="dxa"/>
            <w:shd w:val="clear" w:color="auto" w:fill="auto"/>
            <w:noWrap/>
            <w:hideMark/>
          </w:tcPr>
          <w:p w14:paraId="38DD5B2A" w14:textId="77777777" w:rsidR="00D26979" w:rsidRPr="00A577DF" w:rsidRDefault="008B6935">
            <w:pPr>
              <w:spacing w:line="240" w:lineRule="auto"/>
              <w:rPr>
                <w:rFonts w:eastAsia="Times New Roman" w:cs="Arial"/>
                <w:sz w:val="20"/>
                <w:lang w:val="de-AT" w:eastAsia="fr-FR"/>
              </w:rPr>
            </w:pPr>
            <w:r w:rsidRPr="00A577DF">
              <w:rPr>
                <w:sz w:val="20"/>
                <w:lang w:val="de-AT"/>
              </w:rPr>
              <w:t>MAROKKO</w:t>
            </w:r>
          </w:p>
        </w:tc>
        <w:tc>
          <w:tcPr>
            <w:tcW w:w="1360" w:type="dxa"/>
            <w:shd w:val="clear" w:color="auto" w:fill="auto"/>
            <w:noWrap/>
            <w:vAlign w:val="bottom"/>
          </w:tcPr>
          <w:p w14:paraId="1EFF3419"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16</w:t>
            </w:r>
            <w:r w:rsidR="003E03B6" w:rsidRPr="00A577DF">
              <w:rPr>
                <w:sz w:val="20"/>
                <w:lang w:val="de-AT"/>
              </w:rPr>
              <w:t>,</w:t>
            </w:r>
            <w:r w:rsidRPr="00A577DF">
              <w:rPr>
                <w:sz w:val="20"/>
                <w:lang w:val="de-AT"/>
              </w:rPr>
              <w:t>502</w:t>
            </w:r>
          </w:p>
        </w:tc>
        <w:tc>
          <w:tcPr>
            <w:tcW w:w="1532" w:type="dxa"/>
            <w:shd w:val="clear" w:color="auto" w:fill="auto"/>
            <w:noWrap/>
            <w:vAlign w:val="bottom"/>
          </w:tcPr>
          <w:p w14:paraId="3F7E74C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39</w:t>
            </w:r>
            <w:r w:rsidR="00F91FEC" w:rsidRPr="00A577DF">
              <w:rPr>
                <w:sz w:val="20"/>
                <w:lang w:val="de-AT"/>
              </w:rPr>
              <w:t>.</w:t>
            </w:r>
            <w:r w:rsidRPr="00A577DF">
              <w:rPr>
                <w:sz w:val="20"/>
                <w:lang w:val="de-AT"/>
              </w:rPr>
              <w:t>9</w:t>
            </w:r>
          </w:p>
        </w:tc>
      </w:tr>
      <w:tr w:rsidR="0064525B" w:rsidRPr="00A577DF" w14:paraId="21B99459" w14:textId="77777777" w:rsidTr="00113A11">
        <w:trPr>
          <w:trHeight w:val="312"/>
        </w:trPr>
        <w:tc>
          <w:tcPr>
            <w:tcW w:w="851" w:type="dxa"/>
            <w:shd w:val="clear" w:color="auto" w:fill="auto"/>
            <w:noWrap/>
            <w:vAlign w:val="center"/>
            <w:hideMark/>
          </w:tcPr>
          <w:p w14:paraId="6E77C816"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9</w:t>
            </w:r>
          </w:p>
        </w:tc>
        <w:tc>
          <w:tcPr>
            <w:tcW w:w="3827" w:type="dxa"/>
            <w:shd w:val="clear" w:color="auto" w:fill="auto"/>
            <w:noWrap/>
            <w:hideMark/>
          </w:tcPr>
          <w:p w14:paraId="0443E61D" w14:textId="77777777" w:rsidR="00D26979" w:rsidRPr="00A577DF" w:rsidRDefault="008B6935">
            <w:pPr>
              <w:spacing w:line="240" w:lineRule="auto"/>
              <w:rPr>
                <w:rFonts w:eastAsia="Times New Roman" w:cs="Arial"/>
                <w:sz w:val="20"/>
                <w:lang w:val="de-AT" w:eastAsia="fr-FR"/>
              </w:rPr>
            </w:pPr>
            <w:r w:rsidRPr="00A577DF">
              <w:rPr>
                <w:sz w:val="20"/>
                <w:lang w:val="de-AT"/>
              </w:rPr>
              <w:t>SPANIEN + KANARISCHE INSELN</w:t>
            </w:r>
          </w:p>
        </w:tc>
        <w:tc>
          <w:tcPr>
            <w:tcW w:w="1360" w:type="dxa"/>
            <w:shd w:val="clear" w:color="auto" w:fill="auto"/>
            <w:noWrap/>
            <w:vAlign w:val="bottom"/>
          </w:tcPr>
          <w:p w14:paraId="3BDF8C3A"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16</w:t>
            </w:r>
            <w:r w:rsidR="003E03B6" w:rsidRPr="00A577DF">
              <w:rPr>
                <w:sz w:val="20"/>
                <w:lang w:val="de-AT"/>
              </w:rPr>
              <w:t>,</w:t>
            </w:r>
            <w:r w:rsidRPr="00A577DF">
              <w:rPr>
                <w:sz w:val="20"/>
                <w:lang w:val="de-AT"/>
              </w:rPr>
              <w:t>179</w:t>
            </w:r>
          </w:p>
        </w:tc>
        <w:tc>
          <w:tcPr>
            <w:tcW w:w="1532" w:type="dxa"/>
            <w:shd w:val="clear" w:color="auto" w:fill="auto"/>
            <w:noWrap/>
            <w:vAlign w:val="bottom"/>
          </w:tcPr>
          <w:p w14:paraId="0A134E90" w14:textId="77777777" w:rsidR="00D26979" w:rsidRPr="00A577DF" w:rsidRDefault="008B6935">
            <w:pPr>
              <w:spacing w:line="240" w:lineRule="auto"/>
              <w:jc w:val="right"/>
              <w:rPr>
                <w:rFonts w:eastAsia="Times New Roman" w:cs="Arial"/>
                <w:sz w:val="20"/>
                <w:lang w:val="de-AT" w:eastAsia="fr-FR"/>
              </w:rPr>
            </w:pPr>
            <w:r w:rsidRPr="00A577DF">
              <w:rPr>
                <w:sz w:val="20"/>
                <w:lang w:val="de-AT"/>
              </w:rPr>
              <w:t>8</w:t>
            </w:r>
            <w:r w:rsidR="00F91FEC" w:rsidRPr="00A577DF">
              <w:rPr>
                <w:sz w:val="20"/>
                <w:lang w:val="de-AT"/>
              </w:rPr>
              <w:t>.</w:t>
            </w:r>
            <w:r w:rsidRPr="00A577DF">
              <w:rPr>
                <w:sz w:val="20"/>
                <w:lang w:val="de-AT"/>
              </w:rPr>
              <w:t>5</w:t>
            </w:r>
          </w:p>
        </w:tc>
      </w:tr>
      <w:tr w:rsidR="0064525B" w:rsidRPr="00A577DF" w14:paraId="4D0A72CD" w14:textId="77777777" w:rsidTr="00113A11">
        <w:trPr>
          <w:trHeight w:val="312"/>
        </w:trPr>
        <w:tc>
          <w:tcPr>
            <w:tcW w:w="851" w:type="dxa"/>
            <w:shd w:val="clear" w:color="auto" w:fill="auto"/>
            <w:noWrap/>
            <w:vAlign w:val="center"/>
            <w:hideMark/>
          </w:tcPr>
          <w:p w14:paraId="677CF059"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10</w:t>
            </w:r>
          </w:p>
        </w:tc>
        <w:tc>
          <w:tcPr>
            <w:tcW w:w="3827" w:type="dxa"/>
            <w:shd w:val="clear" w:color="auto" w:fill="auto"/>
            <w:noWrap/>
            <w:hideMark/>
          </w:tcPr>
          <w:p w14:paraId="3F1D7441" w14:textId="77777777" w:rsidR="00D26979" w:rsidRPr="00A577DF" w:rsidRDefault="008B6935">
            <w:pPr>
              <w:spacing w:line="240" w:lineRule="auto"/>
              <w:rPr>
                <w:rFonts w:eastAsia="Times New Roman" w:cs="Arial"/>
                <w:sz w:val="20"/>
                <w:lang w:val="de-AT" w:eastAsia="fr-FR"/>
              </w:rPr>
            </w:pPr>
            <w:r w:rsidRPr="00A577DF">
              <w:rPr>
                <w:sz w:val="20"/>
                <w:lang w:val="de-AT"/>
              </w:rPr>
              <w:t>VEREINIGTES KÖNIGREICH</w:t>
            </w:r>
          </w:p>
        </w:tc>
        <w:tc>
          <w:tcPr>
            <w:tcW w:w="1360" w:type="dxa"/>
            <w:shd w:val="clear" w:color="auto" w:fill="auto"/>
            <w:noWrap/>
            <w:vAlign w:val="bottom"/>
          </w:tcPr>
          <w:p w14:paraId="6801A6FF"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15</w:t>
            </w:r>
            <w:r w:rsidR="003E03B6" w:rsidRPr="00A577DF">
              <w:rPr>
                <w:sz w:val="20"/>
                <w:lang w:val="de-AT"/>
              </w:rPr>
              <w:t>,</w:t>
            </w:r>
            <w:r w:rsidRPr="00A577DF">
              <w:rPr>
                <w:sz w:val="20"/>
                <w:lang w:val="de-AT"/>
              </w:rPr>
              <w:t>835</w:t>
            </w:r>
          </w:p>
        </w:tc>
        <w:tc>
          <w:tcPr>
            <w:tcW w:w="1532" w:type="dxa"/>
            <w:shd w:val="clear" w:color="auto" w:fill="auto"/>
            <w:noWrap/>
            <w:vAlign w:val="bottom"/>
          </w:tcPr>
          <w:p w14:paraId="2270661F" w14:textId="77777777" w:rsidR="00D26979" w:rsidRPr="00A577DF" w:rsidRDefault="008B6935">
            <w:pPr>
              <w:spacing w:line="240" w:lineRule="auto"/>
              <w:jc w:val="right"/>
              <w:rPr>
                <w:rFonts w:eastAsia="Times New Roman" w:cs="Arial"/>
                <w:sz w:val="20"/>
                <w:lang w:val="de-AT" w:eastAsia="fr-FR"/>
              </w:rPr>
            </w:pPr>
            <w:r w:rsidRPr="00A577DF">
              <w:rPr>
                <w:sz w:val="20"/>
                <w:lang w:val="de-AT"/>
              </w:rPr>
              <w:t>3</w:t>
            </w:r>
            <w:r w:rsidR="00F91FEC" w:rsidRPr="00A577DF">
              <w:rPr>
                <w:sz w:val="20"/>
                <w:lang w:val="de-AT"/>
              </w:rPr>
              <w:t>.</w:t>
            </w:r>
            <w:r w:rsidRPr="00A577DF">
              <w:rPr>
                <w:sz w:val="20"/>
                <w:lang w:val="de-AT"/>
              </w:rPr>
              <w:t>2</w:t>
            </w:r>
          </w:p>
        </w:tc>
      </w:tr>
      <w:tr w:rsidR="0064525B" w:rsidRPr="00A577DF" w14:paraId="2D35F1EA" w14:textId="77777777" w:rsidTr="00113A11">
        <w:trPr>
          <w:trHeight w:val="312"/>
        </w:trPr>
        <w:tc>
          <w:tcPr>
            <w:tcW w:w="851" w:type="dxa"/>
            <w:shd w:val="clear" w:color="auto" w:fill="auto"/>
            <w:noWrap/>
            <w:vAlign w:val="center"/>
            <w:hideMark/>
          </w:tcPr>
          <w:p w14:paraId="24E2FD83"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11</w:t>
            </w:r>
          </w:p>
        </w:tc>
        <w:tc>
          <w:tcPr>
            <w:tcW w:w="3827" w:type="dxa"/>
            <w:shd w:val="clear" w:color="auto" w:fill="auto"/>
            <w:noWrap/>
            <w:hideMark/>
          </w:tcPr>
          <w:p w14:paraId="332458AB" w14:textId="77777777" w:rsidR="00D26979" w:rsidRPr="00A577DF" w:rsidRDefault="008B6935">
            <w:pPr>
              <w:spacing w:line="240" w:lineRule="auto"/>
              <w:rPr>
                <w:rFonts w:eastAsia="Times New Roman" w:cs="Arial"/>
                <w:sz w:val="20"/>
                <w:lang w:val="de-AT" w:eastAsia="fr-FR"/>
              </w:rPr>
            </w:pPr>
            <w:r w:rsidRPr="00A577DF">
              <w:rPr>
                <w:sz w:val="20"/>
                <w:lang w:val="de-AT"/>
              </w:rPr>
              <w:t xml:space="preserve">BELGIEN </w:t>
            </w:r>
            <w:r w:rsidR="00031BCF" w:rsidRPr="00A577DF">
              <w:rPr>
                <w:sz w:val="20"/>
                <w:lang w:val="de-AT"/>
              </w:rPr>
              <w:t xml:space="preserve">+ </w:t>
            </w:r>
            <w:r w:rsidRPr="00A577DF">
              <w:rPr>
                <w:sz w:val="20"/>
                <w:lang w:val="de-AT"/>
              </w:rPr>
              <w:t>LUXEMBURG</w:t>
            </w:r>
          </w:p>
        </w:tc>
        <w:tc>
          <w:tcPr>
            <w:tcW w:w="1360" w:type="dxa"/>
            <w:shd w:val="clear" w:color="auto" w:fill="auto"/>
            <w:noWrap/>
            <w:vAlign w:val="bottom"/>
          </w:tcPr>
          <w:p w14:paraId="146A55F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13</w:t>
            </w:r>
            <w:r w:rsidR="003E03B6" w:rsidRPr="00A577DF">
              <w:rPr>
                <w:sz w:val="20"/>
                <w:lang w:val="de-AT"/>
              </w:rPr>
              <w:t>,</w:t>
            </w:r>
            <w:r w:rsidRPr="00A577DF">
              <w:rPr>
                <w:sz w:val="20"/>
                <w:lang w:val="de-AT"/>
              </w:rPr>
              <w:t>749</w:t>
            </w:r>
          </w:p>
        </w:tc>
        <w:tc>
          <w:tcPr>
            <w:tcW w:w="1532" w:type="dxa"/>
            <w:shd w:val="clear" w:color="auto" w:fill="auto"/>
            <w:noWrap/>
            <w:vAlign w:val="bottom"/>
          </w:tcPr>
          <w:p w14:paraId="4E6FAC68"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w:t>
            </w:r>
            <w:r w:rsidR="00F91FEC" w:rsidRPr="00A577DF">
              <w:rPr>
                <w:sz w:val="20"/>
                <w:lang w:val="de-AT"/>
              </w:rPr>
              <w:t>.</w:t>
            </w:r>
            <w:r w:rsidRPr="00A577DF">
              <w:rPr>
                <w:sz w:val="20"/>
                <w:lang w:val="de-AT"/>
              </w:rPr>
              <w:t>4</w:t>
            </w:r>
          </w:p>
        </w:tc>
      </w:tr>
      <w:tr w:rsidR="0064525B" w:rsidRPr="00A577DF" w14:paraId="17EFCF59" w14:textId="77777777" w:rsidTr="00113A11">
        <w:trPr>
          <w:trHeight w:val="312"/>
        </w:trPr>
        <w:tc>
          <w:tcPr>
            <w:tcW w:w="851" w:type="dxa"/>
            <w:shd w:val="clear" w:color="auto" w:fill="auto"/>
            <w:noWrap/>
            <w:vAlign w:val="center"/>
            <w:hideMark/>
          </w:tcPr>
          <w:p w14:paraId="098E7993"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12</w:t>
            </w:r>
          </w:p>
        </w:tc>
        <w:tc>
          <w:tcPr>
            <w:tcW w:w="3827" w:type="dxa"/>
            <w:shd w:val="clear" w:color="auto" w:fill="auto"/>
            <w:noWrap/>
            <w:hideMark/>
          </w:tcPr>
          <w:p w14:paraId="39DAAE88" w14:textId="77777777" w:rsidR="00D26979" w:rsidRPr="00A577DF" w:rsidRDefault="008B6935">
            <w:pPr>
              <w:spacing w:line="240" w:lineRule="auto"/>
              <w:rPr>
                <w:rFonts w:eastAsia="Times New Roman" w:cs="Arial"/>
                <w:sz w:val="20"/>
                <w:lang w:val="de-AT" w:eastAsia="fr-FR"/>
              </w:rPr>
            </w:pPr>
            <w:r w:rsidRPr="00A577DF">
              <w:rPr>
                <w:sz w:val="20"/>
                <w:lang w:val="de-AT"/>
              </w:rPr>
              <w:t>SÜDKOREA</w:t>
            </w:r>
          </w:p>
        </w:tc>
        <w:tc>
          <w:tcPr>
            <w:tcW w:w="1360" w:type="dxa"/>
            <w:shd w:val="clear" w:color="auto" w:fill="auto"/>
            <w:noWrap/>
            <w:vAlign w:val="bottom"/>
          </w:tcPr>
          <w:p w14:paraId="15665EBE"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12</w:t>
            </w:r>
            <w:r w:rsidR="00F91FEC" w:rsidRPr="00A577DF">
              <w:rPr>
                <w:sz w:val="20"/>
                <w:lang w:val="de-AT"/>
              </w:rPr>
              <w:t>,</w:t>
            </w:r>
            <w:r w:rsidRPr="00A577DF">
              <w:rPr>
                <w:sz w:val="20"/>
                <w:lang w:val="de-AT"/>
              </w:rPr>
              <w:t>659</w:t>
            </w:r>
          </w:p>
        </w:tc>
        <w:tc>
          <w:tcPr>
            <w:tcW w:w="1532" w:type="dxa"/>
            <w:shd w:val="clear" w:color="auto" w:fill="auto"/>
            <w:noWrap/>
            <w:vAlign w:val="bottom"/>
          </w:tcPr>
          <w:p w14:paraId="134D4F8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3</w:t>
            </w:r>
            <w:r w:rsidR="00F91FEC" w:rsidRPr="00A577DF">
              <w:rPr>
                <w:sz w:val="20"/>
                <w:lang w:val="de-AT"/>
              </w:rPr>
              <w:t>.</w:t>
            </w:r>
            <w:r w:rsidRPr="00A577DF">
              <w:rPr>
                <w:sz w:val="20"/>
                <w:lang w:val="de-AT"/>
              </w:rPr>
              <w:t>5</w:t>
            </w:r>
          </w:p>
        </w:tc>
      </w:tr>
      <w:tr w:rsidR="0064525B" w:rsidRPr="00A577DF" w14:paraId="02AA1092" w14:textId="77777777" w:rsidTr="00113A11">
        <w:trPr>
          <w:trHeight w:val="312"/>
        </w:trPr>
        <w:tc>
          <w:tcPr>
            <w:tcW w:w="851" w:type="dxa"/>
            <w:shd w:val="clear" w:color="auto" w:fill="auto"/>
            <w:noWrap/>
            <w:vAlign w:val="center"/>
            <w:hideMark/>
          </w:tcPr>
          <w:p w14:paraId="65F247BF"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13</w:t>
            </w:r>
          </w:p>
        </w:tc>
        <w:tc>
          <w:tcPr>
            <w:tcW w:w="3827" w:type="dxa"/>
            <w:shd w:val="clear" w:color="auto" w:fill="auto"/>
            <w:noWrap/>
            <w:hideMark/>
          </w:tcPr>
          <w:p w14:paraId="1AB74FFE" w14:textId="77777777" w:rsidR="00D26979" w:rsidRPr="00A577DF" w:rsidRDefault="008B6935">
            <w:pPr>
              <w:spacing w:line="240" w:lineRule="auto"/>
              <w:rPr>
                <w:rFonts w:eastAsia="Times New Roman" w:cs="Arial"/>
                <w:sz w:val="20"/>
                <w:lang w:val="de-AT" w:eastAsia="fr-FR"/>
              </w:rPr>
            </w:pPr>
            <w:r w:rsidRPr="00A577DF">
              <w:rPr>
                <w:sz w:val="20"/>
                <w:lang w:val="de-AT"/>
              </w:rPr>
              <w:t>POLEN</w:t>
            </w:r>
          </w:p>
        </w:tc>
        <w:tc>
          <w:tcPr>
            <w:tcW w:w="1360" w:type="dxa"/>
            <w:shd w:val="clear" w:color="auto" w:fill="auto"/>
            <w:noWrap/>
            <w:vAlign w:val="bottom"/>
          </w:tcPr>
          <w:p w14:paraId="05848271"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12</w:t>
            </w:r>
            <w:r w:rsidR="00F91FEC" w:rsidRPr="00A577DF">
              <w:rPr>
                <w:sz w:val="20"/>
                <w:lang w:val="de-AT"/>
              </w:rPr>
              <w:t>,</w:t>
            </w:r>
            <w:r w:rsidRPr="00A577DF">
              <w:rPr>
                <w:sz w:val="20"/>
                <w:lang w:val="de-AT"/>
              </w:rPr>
              <w:t>587</w:t>
            </w:r>
          </w:p>
        </w:tc>
        <w:tc>
          <w:tcPr>
            <w:tcW w:w="1532" w:type="dxa"/>
            <w:shd w:val="clear" w:color="auto" w:fill="auto"/>
            <w:noWrap/>
            <w:vAlign w:val="bottom"/>
          </w:tcPr>
          <w:p w14:paraId="478CE13F"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w:t>
            </w:r>
            <w:r w:rsidR="00F91FEC" w:rsidRPr="00A577DF">
              <w:rPr>
                <w:sz w:val="20"/>
                <w:lang w:val="de-AT"/>
              </w:rPr>
              <w:t>.</w:t>
            </w:r>
            <w:r w:rsidRPr="00A577DF">
              <w:rPr>
                <w:sz w:val="20"/>
                <w:lang w:val="de-AT"/>
              </w:rPr>
              <w:t>7</w:t>
            </w:r>
          </w:p>
        </w:tc>
      </w:tr>
      <w:tr w:rsidR="0064525B" w:rsidRPr="00A577DF" w14:paraId="4A718798" w14:textId="77777777" w:rsidTr="00113A11">
        <w:trPr>
          <w:trHeight w:val="312"/>
        </w:trPr>
        <w:tc>
          <w:tcPr>
            <w:tcW w:w="851" w:type="dxa"/>
            <w:shd w:val="clear" w:color="auto" w:fill="auto"/>
            <w:noWrap/>
            <w:vAlign w:val="center"/>
            <w:hideMark/>
          </w:tcPr>
          <w:p w14:paraId="514A6CFB"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14</w:t>
            </w:r>
          </w:p>
        </w:tc>
        <w:tc>
          <w:tcPr>
            <w:tcW w:w="3827" w:type="dxa"/>
            <w:shd w:val="clear" w:color="auto" w:fill="auto"/>
            <w:noWrap/>
            <w:hideMark/>
          </w:tcPr>
          <w:p w14:paraId="2F43BF04" w14:textId="77777777" w:rsidR="00D26979" w:rsidRPr="00A577DF" w:rsidRDefault="008B6935">
            <w:pPr>
              <w:spacing w:line="240" w:lineRule="auto"/>
              <w:rPr>
                <w:rFonts w:eastAsia="Times New Roman" w:cs="Arial"/>
                <w:sz w:val="20"/>
                <w:lang w:val="de-AT" w:eastAsia="fr-FR"/>
              </w:rPr>
            </w:pPr>
            <w:r w:rsidRPr="00A577DF">
              <w:rPr>
                <w:sz w:val="20"/>
                <w:lang w:val="de-AT"/>
              </w:rPr>
              <w:t>ARGENTINIEN</w:t>
            </w:r>
          </w:p>
        </w:tc>
        <w:tc>
          <w:tcPr>
            <w:tcW w:w="1360" w:type="dxa"/>
            <w:shd w:val="clear" w:color="auto" w:fill="auto"/>
            <w:noWrap/>
            <w:vAlign w:val="bottom"/>
          </w:tcPr>
          <w:p w14:paraId="5503C129"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w:t>
            </w:r>
            <w:r w:rsidR="00F91FEC" w:rsidRPr="00A577DF">
              <w:rPr>
                <w:sz w:val="20"/>
                <w:lang w:val="de-AT"/>
              </w:rPr>
              <w:t>,</w:t>
            </w:r>
            <w:r w:rsidRPr="00A577DF">
              <w:rPr>
                <w:sz w:val="20"/>
                <w:lang w:val="de-AT"/>
              </w:rPr>
              <w:t>218</w:t>
            </w:r>
          </w:p>
        </w:tc>
        <w:tc>
          <w:tcPr>
            <w:tcW w:w="1532" w:type="dxa"/>
            <w:shd w:val="clear" w:color="auto" w:fill="auto"/>
            <w:noWrap/>
            <w:vAlign w:val="bottom"/>
          </w:tcPr>
          <w:p w14:paraId="0C163164"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w:t>
            </w:r>
            <w:r w:rsidR="00F91FEC" w:rsidRPr="00A577DF">
              <w:rPr>
                <w:sz w:val="20"/>
                <w:lang w:val="de-AT"/>
              </w:rPr>
              <w:t>.</w:t>
            </w:r>
            <w:r w:rsidRPr="00A577DF">
              <w:rPr>
                <w:sz w:val="20"/>
                <w:lang w:val="de-AT"/>
              </w:rPr>
              <w:t>2</w:t>
            </w:r>
          </w:p>
        </w:tc>
      </w:tr>
      <w:tr w:rsidR="0064525B" w:rsidRPr="00A577DF" w14:paraId="7D553674" w14:textId="77777777" w:rsidTr="00113A11">
        <w:trPr>
          <w:trHeight w:val="312"/>
        </w:trPr>
        <w:tc>
          <w:tcPr>
            <w:tcW w:w="851" w:type="dxa"/>
            <w:shd w:val="clear" w:color="auto" w:fill="auto"/>
            <w:noWrap/>
            <w:vAlign w:val="center"/>
            <w:hideMark/>
          </w:tcPr>
          <w:p w14:paraId="006BA9E4" w14:textId="77777777" w:rsidR="00D26979" w:rsidRPr="00A577DF" w:rsidRDefault="008B6935">
            <w:pPr>
              <w:spacing w:line="240" w:lineRule="auto"/>
              <w:jc w:val="center"/>
              <w:rPr>
                <w:rFonts w:eastAsia="Times New Roman" w:cs="Arial"/>
                <w:sz w:val="20"/>
                <w:lang w:val="de-AT" w:eastAsia="fr-FR"/>
              </w:rPr>
            </w:pPr>
            <w:r w:rsidRPr="00A577DF">
              <w:rPr>
                <w:sz w:val="20"/>
                <w:lang w:val="de-AT"/>
              </w:rPr>
              <w:t>15</w:t>
            </w:r>
          </w:p>
        </w:tc>
        <w:tc>
          <w:tcPr>
            <w:tcW w:w="3827" w:type="dxa"/>
            <w:shd w:val="clear" w:color="auto" w:fill="auto"/>
            <w:noWrap/>
            <w:hideMark/>
          </w:tcPr>
          <w:p w14:paraId="3D6130DF" w14:textId="77777777" w:rsidR="00D26979" w:rsidRPr="00A577DF" w:rsidRDefault="00031BCF">
            <w:pPr>
              <w:spacing w:line="240" w:lineRule="auto"/>
              <w:rPr>
                <w:rFonts w:eastAsia="Times New Roman" w:cs="Arial"/>
                <w:sz w:val="20"/>
                <w:lang w:val="de-AT" w:eastAsia="fr-FR"/>
              </w:rPr>
            </w:pPr>
            <w:r w:rsidRPr="00A577DF">
              <w:rPr>
                <w:sz w:val="20"/>
                <w:lang w:val="de-AT" w:eastAsia="fr-FR"/>
              </w:rPr>
              <w:t>KOLUMBIEN</w:t>
            </w:r>
          </w:p>
        </w:tc>
        <w:tc>
          <w:tcPr>
            <w:tcW w:w="1360" w:type="dxa"/>
            <w:shd w:val="clear" w:color="auto" w:fill="auto"/>
            <w:noWrap/>
            <w:vAlign w:val="bottom"/>
          </w:tcPr>
          <w:p w14:paraId="549CB8D2"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10</w:t>
            </w:r>
            <w:r w:rsidR="00F91FEC" w:rsidRPr="00A577DF">
              <w:rPr>
                <w:sz w:val="20"/>
                <w:lang w:val="de-AT"/>
              </w:rPr>
              <w:t>,</w:t>
            </w:r>
            <w:r w:rsidRPr="00A577DF">
              <w:rPr>
                <w:sz w:val="20"/>
                <w:lang w:val="de-AT"/>
              </w:rPr>
              <w:t>031</w:t>
            </w:r>
          </w:p>
        </w:tc>
        <w:tc>
          <w:tcPr>
            <w:tcW w:w="1532" w:type="dxa"/>
            <w:shd w:val="clear" w:color="auto" w:fill="auto"/>
            <w:noWrap/>
            <w:vAlign w:val="bottom"/>
          </w:tcPr>
          <w:p w14:paraId="1B6B457B" w14:textId="77777777" w:rsidR="00D26979" w:rsidRPr="00A577DF" w:rsidRDefault="008B6935">
            <w:pPr>
              <w:spacing w:line="240" w:lineRule="auto"/>
              <w:jc w:val="right"/>
              <w:rPr>
                <w:rFonts w:eastAsia="Times New Roman" w:cs="Arial"/>
                <w:sz w:val="20"/>
                <w:lang w:val="de-AT" w:eastAsia="fr-FR"/>
              </w:rPr>
            </w:pPr>
            <w:r w:rsidRPr="00A577DF">
              <w:rPr>
                <w:sz w:val="20"/>
                <w:lang w:val="de-AT"/>
              </w:rPr>
              <w:t>19</w:t>
            </w:r>
            <w:r w:rsidR="00F91FEC" w:rsidRPr="00A577DF">
              <w:rPr>
                <w:sz w:val="20"/>
                <w:lang w:val="de-AT"/>
              </w:rPr>
              <w:t>.</w:t>
            </w:r>
            <w:r w:rsidRPr="00A577DF">
              <w:rPr>
                <w:sz w:val="20"/>
                <w:lang w:val="de-AT"/>
              </w:rPr>
              <w:t>4</w:t>
            </w:r>
          </w:p>
        </w:tc>
      </w:tr>
    </w:tbl>
    <w:p w14:paraId="4916F7E0" w14:textId="77777777" w:rsidR="00D26979" w:rsidRPr="00A577DF" w:rsidRDefault="008B6935">
      <w:pPr>
        <w:spacing w:line="240" w:lineRule="auto"/>
        <w:rPr>
          <w:rFonts w:eastAsia="Times New Roman" w:cs="Arial"/>
          <w:sz w:val="16"/>
          <w:szCs w:val="16"/>
          <w:lang w:val="de-AT" w:eastAsia="fr-FR"/>
        </w:rPr>
      </w:pPr>
      <w:r w:rsidRPr="00A577DF">
        <w:rPr>
          <w:sz w:val="16"/>
          <w:szCs w:val="16"/>
          <w:vertAlign w:val="superscript"/>
          <w:lang w:val="de-AT" w:eastAsia="fr-FR"/>
        </w:rPr>
        <w:t xml:space="preserve">(1) </w:t>
      </w:r>
      <w:r w:rsidRPr="00A577DF">
        <w:rPr>
          <w:sz w:val="16"/>
          <w:szCs w:val="16"/>
          <w:lang w:val="de-AT" w:eastAsia="fr-FR"/>
        </w:rPr>
        <w:t xml:space="preserve"> Umsatz ohne Twizy</w:t>
      </w:r>
    </w:p>
    <w:p w14:paraId="11303068" w14:textId="12851B9D" w:rsidR="00D26979" w:rsidRPr="00A577DF" w:rsidRDefault="00552723">
      <w:pPr>
        <w:pStyle w:val="RGTitre1"/>
        <w:jc w:val="both"/>
        <w:rPr>
          <w:rFonts w:ascii="Renault Group" w:eastAsia="Renault Group" w:hAnsi="Renault Group" w:cs="Times New Roman"/>
          <w:color w:val="988C7F"/>
          <w:lang w:val="de-AT"/>
        </w:rPr>
      </w:pPr>
      <w:r w:rsidRPr="00A577DF">
        <w:rPr>
          <w:color w:val="988C7F"/>
          <w:lang w:val="de-AT"/>
        </w:rPr>
        <w:lastRenderedPageBreak/>
        <w:t xml:space="preserve">Gesamtabsatz der </w:t>
      </w:r>
      <w:r w:rsidR="000B349B">
        <w:rPr>
          <w:color w:val="988C7F"/>
          <w:lang w:val="de-AT"/>
        </w:rPr>
        <w:t>Renault Group</w:t>
      </w:r>
      <w:r w:rsidRPr="00A577DF">
        <w:rPr>
          <w:color w:val="988C7F"/>
          <w:lang w:val="de-AT"/>
        </w:rPr>
        <w:t xml:space="preserve"> </w:t>
      </w:r>
      <w:r w:rsidR="00A9305A" w:rsidRPr="00A577DF">
        <w:rPr>
          <w:color w:val="988C7F"/>
          <w:lang w:val="de-AT"/>
        </w:rPr>
        <w:t xml:space="preserve">PC + LCV </w:t>
      </w:r>
      <w:r w:rsidRPr="00A577DF">
        <w:rPr>
          <w:color w:val="988C7F"/>
          <w:lang w:val="de-AT"/>
        </w:rPr>
        <w:t xml:space="preserve">nach Marken </w:t>
      </w:r>
    </w:p>
    <w:bookmarkEnd w:id="5"/>
    <w:tbl>
      <w:tblPr>
        <w:tblW w:w="7240" w:type="dxa"/>
        <w:tblInd w:w="-70" w:type="dxa"/>
        <w:tblCellMar>
          <w:left w:w="70" w:type="dxa"/>
          <w:right w:w="70" w:type="dxa"/>
        </w:tblCellMar>
        <w:tblLook w:val="04A0" w:firstRow="1" w:lastRow="0" w:firstColumn="1" w:lastColumn="0" w:noHBand="0" w:noVBand="1"/>
      </w:tblPr>
      <w:tblGrid>
        <w:gridCol w:w="3320"/>
        <w:gridCol w:w="1360"/>
        <w:gridCol w:w="1360"/>
        <w:gridCol w:w="1279"/>
      </w:tblGrid>
      <w:tr w:rsidR="00F94AF6" w:rsidRPr="00A577DF" w14:paraId="1DD88E41" w14:textId="77777777" w:rsidTr="00EF05D1">
        <w:trPr>
          <w:trHeight w:val="320"/>
        </w:trPr>
        <w:tc>
          <w:tcPr>
            <w:tcW w:w="3320" w:type="dxa"/>
            <w:tcBorders>
              <w:top w:val="nil"/>
              <w:left w:val="nil"/>
              <w:bottom w:val="nil"/>
              <w:right w:val="nil"/>
            </w:tcBorders>
            <w:shd w:val="clear" w:color="auto" w:fill="auto"/>
            <w:noWrap/>
            <w:vAlign w:val="center"/>
            <w:hideMark/>
          </w:tcPr>
          <w:p w14:paraId="00BDCC11" w14:textId="77777777" w:rsidR="00F94AF6" w:rsidRPr="00A577DF" w:rsidRDefault="00F94AF6" w:rsidP="002F7A5E">
            <w:pPr>
              <w:spacing w:before="0" w:line="240" w:lineRule="auto"/>
              <w:rPr>
                <w:rFonts w:ascii="Times New Roman" w:eastAsia="Times New Roman" w:hAnsi="Times New Roman" w:cs="Times New Roman"/>
                <w:sz w:val="20"/>
                <w:szCs w:val="24"/>
                <w:lang w:val="de-AT" w:eastAsia="fr-FR"/>
              </w:rPr>
            </w:pPr>
          </w:p>
        </w:tc>
        <w:tc>
          <w:tcPr>
            <w:tcW w:w="3920" w:type="dxa"/>
            <w:gridSpan w:val="3"/>
            <w:tcBorders>
              <w:top w:val="nil"/>
              <w:left w:val="nil"/>
              <w:bottom w:val="nil"/>
              <w:right w:val="nil"/>
            </w:tcBorders>
            <w:shd w:val="clear" w:color="auto" w:fill="auto"/>
            <w:vAlign w:val="center"/>
            <w:hideMark/>
          </w:tcPr>
          <w:p w14:paraId="2576B17C" w14:textId="77777777" w:rsidR="00FD4659" w:rsidRDefault="00FD4659" w:rsidP="00FD4659">
            <w:pPr>
              <w:spacing w:before="0" w:line="240" w:lineRule="auto"/>
              <w:ind w:left="1416"/>
              <w:rPr>
                <w:b/>
                <w:bCs/>
                <w:color w:val="000000"/>
                <w:szCs w:val="18"/>
                <w:lang w:val="de-AT" w:eastAsia="fr-FR"/>
              </w:rPr>
            </w:pPr>
            <w:r>
              <w:rPr>
                <w:b/>
                <w:bCs/>
                <w:color w:val="000000"/>
                <w:szCs w:val="18"/>
                <w:lang w:val="de-AT" w:eastAsia="fr-FR"/>
              </w:rPr>
              <w:t xml:space="preserve">Erstes </w:t>
            </w:r>
          </w:p>
          <w:p w14:paraId="0C4A6A31" w14:textId="1D1E10C9" w:rsidR="00D26979" w:rsidRPr="00A577DF" w:rsidRDefault="00FD4659" w:rsidP="00FD4659">
            <w:pPr>
              <w:spacing w:before="0" w:line="240" w:lineRule="auto"/>
              <w:ind w:left="1416"/>
              <w:rPr>
                <w:rFonts w:ascii="Renault Group" w:eastAsia="Times New Roman" w:hAnsi="Renault Group" w:cs="Calibri"/>
                <w:b/>
                <w:bCs/>
                <w:color w:val="000000"/>
                <w:szCs w:val="18"/>
                <w:lang w:val="de-AT" w:eastAsia="fr-FR"/>
              </w:rPr>
            </w:pPr>
            <w:r>
              <w:rPr>
                <w:b/>
                <w:bCs/>
                <w:color w:val="000000"/>
                <w:szCs w:val="18"/>
                <w:lang w:val="de-AT" w:eastAsia="fr-FR"/>
              </w:rPr>
              <w:t>Quartal</w:t>
            </w:r>
          </w:p>
        </w:tc>
      </w:tr>
      <w:tr w:rsidR="00F94AF6" w:rsidRPr="00A577DF" w14:paraId="2C046454" w14:textId="77777777" w:rsidTr="00EF05D1">
        <w:trPr>
          <w:trHeight w:val="290"/>
        </w:trPr>
        <w:tc>
          <w:tcPr>
            <w:tcW w:w="3320" w:type="dxa"/>
            <w:tcBorders>
              <w:top w:val="nil"/>
              <w:left w:val="nil"/>
              <w:bottom w:val="nil"/>
              <w:right w:val="nil"/>
            </w:tcBorders>
            <w:shd w:val="clear" w:color="auto" w:fill="auto"/>
            <w:noWrap/>
            <w:vAlign w:val="bottom"/>
            <w:hideMark/>
          </w:tcPr>
          <w:p w14:paraId="17D6184A" w14:textId="77777777" w:rsidR="00F94AF6" w:rsidRPr="00A577DF" w:rsidRDefault="00F94AF6" w:rsidP="002F7A5E">
            <w:pPr>
              <w:spacing w:before="0" w:line="240" w:lineRule="auto"/>
              <w:jc w:val="center"/>
              <w:rPr>
                <w:rFonts w:ascii="Renault Group" w:eastAsia="Times New Roman" w:hAnsi="Renault Group" w:cs="Calibri"/>
                <w:b/>
                <w:bCs/>
                <w:color w:val="000000"/>
                <w:szCs w:val="18"/>
                <w:lang w:val="de-AT" w:eastAsia="fr-FR"/>
              </w:rPr>
            </w:pPr>
          </w:p>
        </w:tc>
        <w:tc>
          <w:tcPr>
            <w:tcW w:w="1360" w:type="dxa"/>
            <w:tcBorders>
              <w:top w:val="nil"/>
              <w:left w:val="nil"/>
              <w:bottom w:val="nil"/>
              <w:right w:val="nil"/>
            </w:tcBorders>
            <w:shd w:val="clear" w:color="auto" w:fill="auto"/>
            <w:vAlign w:val="center"/>
            <w:hideMark/>
          </w:tcPr>
          <w:p w14:paraId="0B6E815A"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2021</w:t>
            </w:r>
          </w:p>
        </w:tc>
        <w:tc>
          <w:tcPr>
            <w:tcW w:w="1360" w:type="dxa"/>
            <w:tcBorders>
              <w:top w:val="nil"/>
              <w:left w:val="nil"/>
              <w:bottom w:val="nil"/>
              <w:right w:val="nil"/>
            </w:tcBorders>
            <w:shd w:val="clear" w:color="auto" w:fill="auto"/>
            <w:vAlign w:val="center"/>
            <w:hideMark/>
          </w:tcPr>
          <w:p w14:paraId="296506D7"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2022</w:t>
            </w:r>
          </w:p>
        </w:tc>
        <w:tc>
          <w:tcPr>
            <w:tcW w:w="1200" w:type="dxa"/>
            <w:tcBorders>
              <w:top w:val="nil"/>
              <w:left w:val="nil"/>
              <w:bottom w:val="nil"/>
              <w:right w:val="nil"/>
            </w:tcBorders>
            <w:shd w:val="clear" w:color="auto" w:fill="auto"/>
            <w:vAlign w:val="center"/>
            <w:hideMark/>
          </w:tcPr>
          <w:p w14:paraId="23C43D96" w14:textId="6A837DEA" w:rsidR="00D26979" w:rsidRPr="00A577DF" w:rsidRDefault="00FD4659">
            <w:pPr>
              <w:spacing w:before="0" w:line="240" w:lineRule="auto"/>
              <w:jc w:val="right"/>
              <w:rPr>
                <w:b/>
                <w:bCs/>
                <w:color w:val="000000"/>
                <w:szCs w:val="18"/>
                <w:lang w:val="de-AT" w:eastAsia="fr-FR"/>
              </w:rPr>
            </w:pPr>
            <w:r>
              <w:rPr>
                <w:b/>
                <w:bCs/>
                <w:color w:val="000000"/>
                <w:szCs w:val="18"/>
                <w:lang w:val="de-AT" w:eastAsia="fr-FR"/>
              </w:rPr>
              <w:t xml:space="preserve">Veränderung in </w:t>
            </w:r>
          </w:p>
          <w:p w14:paraId="3A7B6CA9"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w:t>
            </w:r>
          </w:p>
        </w:tc>
      </w:tr>
      <w:tr w:rsidR="00F94AF6" w:rsidRPr="00A577DF" w14:paraId="1406E780"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3F89ACE7"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RENAULT</w:t>
            </w:r>
          </w:p>
        </w:tc>
        <w:tc>
          <w:tcPr>
            <w:tcW w:w="1360" w:type="dxa"/>
            <w:tcBorders>
              <w:top w:val="nil"/>
              <w:left w:val="nil"/>
              <w:bottom w:val="single" w:sz="12" w:space="0" w:color="auto"/>
              <w:right w:val="nil"/>
            </w:tcBorders>
            <w:shd w:val="clear" w:color="auto" w:fill="auto"/>
            <w:vAlign w:val="center"/>
            <w:hideMark/>
          </w:tcPr>
          <w:p w14:paraId="1FBAF136"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61C46F8B"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47F819E9"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F94AF6" w:rsidRPr="00A577DF" w14:paraId="20653C4F" w14:textId="77777777" w:rsidTr="00EF05D1">
        <w:trPr>
          <w:trHeight w:val="300"/>
        </w:trPr>
        <w:tc>
          <w:tcPr>
            <w:tcW w:w="3320" w:type="dxa"/>
            <w:tcBorders>
              <w:top w:val="nil"/>
              <w:left w:val="nil"/>
              <w:bottom w:val="nil"/>
              <w:right w:val="nil"/>
            </w:tcBorders>
            <w:shd w:val="clear" w:color="auto" w:fill="auto"/>
            <w:noWrap/>
            <w:vAlign w:val="center"/>
            <w:hideMark/>
          </w:tcPr>
          <w:p w14:paraId="67EBC388"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5AB934C9"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337</w:t>
            </w:r>
            <w:r w:rsidR="00676A17" w:rsidRPr="00A577DF">
              <w:rPr>
                <w:color w:val="000000"/>
                <w:szCs w:val="18"/>
                <w:lang w:val="de-AT" w:eastAsia="fr-FR"/>
              </w:rPr>
              <w:t>,</w:t>
            </w:r>
            <w:r w:rsidRPr="00A577DF">
              <w:rPr>
                <w:color w:val="000000"/>
                <w:szCs w:val="18"/>
                <w:lang w:val="de-AT" w:eastAsia="fr-FR"/>
              </w:rPr>
              <w:t xml:space="preserve">661 </w:t>
            </w:r>
          </w:p>
        </w:tc>
        <w:tc>
          <w:tcPr>
            <w:tcW w:w="1360" w:type="dxa"/>
            <w:tcBorders>
              <w:top w:val="nil"/>
              <w:left w:val="nil"/>
              <w:bottom w:val="nil"/>
              <w:right w:val="nil"/>
            </w:tcBorders>
            <w:shd w:val="clear" w:color="auto" w:fill="auto"/>
            <w:noWrap/>
            <w:vAlign w:val="center"/>
            <w:hideMark/>
          </w:tcPr>
          <w:p w14:paraId="0E2AF0F1"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279</w:t>
            </w:r>
            <w:r w:rsidR="00676A17" w:rsidRPr="00A577DF">
              <w:rPr>
                <w:color w:val="000000"/>
                <w:szCs w:val="18"/>
                <w:lang w:val="de-AT" w:eastAsia="fr-FR"/>
              </w:rPr>
              <w:t>,</w:t>
            </w:r>
            <w:r w:rsidRPr="00A577DF">
              <w:rPr>
                <w:color w:val="000000"/>
                <w:szCs w:val="18"/>
                <w:lang w:val="de-AT" w:eastAsia="fr-FR"/>
              </w:rPr>
              <w:t xml:space="preserve">185 </w:t>
            </w:r>
          </w:p>
        </w:tc>
        <w:tc>
          <w:tcPr>
            <w:tcW w:w="1200" w:type="dxa"/>
            <w:tcBorders>
              <w:top w:val="nil"/>
              <w:left w:val="nil"/>
              <w:bottom w:val="nil"/>
              <w:right w:val="nil"/>
            </w:tcBorders>
            <w:shd w:val="clear" w:color="auto" w:fill="auto"/>
            <w:noWrap/>
            <w:vAlign w:val="center"/>
            <w:hideMark/>
          </w:tcPr>
          <w:p w14:paraId="206A12F0"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-17</w:t>
            </w:r>
            <w:r w:rsidR="00676A17" w:rsidRPr="00A577DF">
              <w:rPr>
                <w:color w:val="000000"/>
                <w:szCs w:val="18"/>
                <w:lang w:val="de-AT" w:eastAsia="fr-FR"/>
              </w:rPr>
              <w:t>.</w:t>
            </w:r>
            <w:r w:rsidRPr="00A577DF">
              <w:rPr>
                <w:color w:val="000000"/>
                <w:szCs w:val="18"/>
                <w:lang w:val="de-AT" w:eastAsia="fr-FR"/>
              </w:rPr>
              <w:t>3</w:t>
            </w:r>
          </w:p>
        </w:tc>
      </w:tr>
      <w:tr w:rsidR="00F94AF6" w:rsidRPr="00A577DF" w14:paraId="7C0536D7" w14:textId="77777777" w:rsidTr="00EF05D1">
        <w:trPr>
          <w:trHeight w:val="290"/>
        </w:trPr>
        <w:tc>
          <w:tcPr>
            <w:tcW w:w="3320" w:type="dxa"/>
            <w:tcBorders>
              <w:top w:val="nil"/>
              <w:left w:val="nil"/>
              <w:bottom w:val="nil"/>
              <w:right w:val="nil"/>
            </w:tcBorders>
            <w:shd w:val="clear" w:color="auto" w:fill="auto"/>
            <w:noWrap/>
            <w:vAlign w:val="center"/>
            <w:hideMark/>
          </w:tcPr>
          <w:p w14:paraId="66C7623D"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LCV</w:t>
            </w:r>
          </w:p>
        </w:tc>
        <w:tc>
          <w:tcPr>
            <w:tcW w:w="1360" w:type="dxa"/>
            <w:tcBorders>
              <w:top w:val="nil"/>
              <w:left w:val="nil"/>
              <w:bottom w:val="nil"/>
              <w:right w:val="nil"/>
            </w:tcBorders>
            <w:shd w:val="clear" w:color="auto" w:fill="auto"/>
            <w:noWrap/>
            <w:vAlign w:val="center"/>
            <w:hideMark/>
          </w:tcPr>
          <w:p w14:paraId="0A109934"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96</w:t>
            </w:r>
            <w:r w:rsidR="00676A17" w:rsidRPr="00A577DF">
              <w:rPr>
                <w:color w:val="000000"/>
                <w:szCs w:val="18"/>
                <w:lang w:val="de-AT" w:eastAsia="fr-FR"/>
              </w:rPr>
              <w:t>,</w:t>
            </w:r>
            <w:r w:rsidRPr="00A577DF">
              <w:rPr>
                <w:color w:val="000000"/>
                <w:szCs w:val="18"/>
                <w:lang w:val="de-AT" w:eastAsia="fr-FR"/>
              </w:rPr>
              <w:t xml:space="preserve">485 </w:t>
            </w:r>
          </w:p>
        </w:tc>
        <w:tc>
          <w:tcPr>
            <w:tcW w:w="1360" w:type="dxa"/>
            <w:tcBorders>
              <w:top w:val="nil"/>
              <w:left w:val="nil"/>
              <w:bottom w:val="nil"/>
              <w:right w:val="nil"/>
            </w:tcBorders>
            <w:shd w:val="clear" w:color="auto" w:fill="auto"/>
            <w:noWrap/>
            <w:vAlign w:val="center"/>
            <w:hideMark/>
          </w:tcPr>
          <w:p w14:paraId="39D2079A"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69</w:t>
            </w:r>
            <w:r w:rsidR="00676A17" w:rsidRPr="00A577DF">
              <w:rPr>
                <w:color w:val="000000"/>
                <w:szCs w:val="18"/>
                <w:lang w:val="de-AT" w:eastAsia="fr-FR"/>
              </w:rPr>
              <w:t>,</w:t>
            </w:r>
            <w:r w:rsidRPr="00A577DF">
              <w:rPr>
                <w:color w:val="000000"/>
                <w:szCs w:val="18"/>
                <w:lang w:val="de-AT" w:eastAsia="fr-FR"/>
              </w:rPr>
              <w:t xml:space="preserve">547 </w:t>
            </w:r>
          </w:p>
        </w:tc>
        <w:tc>
          <w:tcPr>
            <w:tcW w:w="1200" w:type="dxa"/>
            <w:tcBorders>
              <w:top w:val="nil"/>
              <w:left w:val="nil"/>
              <w:bottom w:val="nil"/>
              <w:right w:val="nil"/>
            </w:tcBorders>
            <w:shd w:val="clear" w:color="auto" w:fill="auto"/>
            <w:noWrap/>
            <w:vAlign w:val="center"/>
            <w:hideMark/>
          </w:tcPr>
          <w:p w14:paraId="497A8320"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-27</w:t>
            </w:r>
            <w:r w:rsidR="00676A17" w:rsidRPr="00A577DF">
              <w:rPr>
                <w:color w:val="000000"/>
                <w:szCs w:val="18"/>
                <w:lang w:val="de-AT" w:eastAsia="fr-FR"/>
              </w:rPr>
              <w:t>.</w:t>
            </w:r>
            <w:r w:rsidRPr="00A577DF">
              <w:rPr>
                <w:color w:val="000000"/>
                <w:szCs w:val="18"/>
                <w:lang w:val="de-AT" w:eastAsia="fr-FR"/>
              </w:rPr>
              <w:t>9</w:t>
            </w:r>
          </w:p>
        </w:tc>
      </w:tr>
      <w:tr w:rsidR="00F94AF6" w:rsidRPr="00A577DF" w14:paraId="121B7349" w14:textId="77777777" w:rsidTr="00EF05D1">
        <w:trPr>
          <w:trHeight w:val="290"/>
        </w:trPr>
        <w:tc>
          <w:tcPr>
            <w:tcW w:w="3320" w:type="dxa"/>
            <w:tcBorders>
              <w:top w:val="nil"/>
              <w:left w:val="nil"/>
              <w:bottom w:val="nil"/>
              <w:right w:val="nil"/>
            </w:tcBorders>
            <w:shd w:val="clear" w:color="auto" w:fill="auto"/>
            <w:noWrap/>
            <w:vAlign w:val="center"/>
            <w:hideMark/>
          </w:tcPr>
          <w:p w14:paraId="6F15DC99"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PC + LCV*</w:t>
            </w:r>
          </w:p>
        </w:tc>
        <w:tc>
          <w:tcPr>
            <w:tcW w:w="1360" w:type="dxa"/>
            <w:tcBorders>
              <w:top w:val="nil"/>
              <w:left w:val="nil"/>
              <w:bottom w:val="nil"/>
              <w:right w:val="nil"/>
            </w:tcBorders>
            <w:shd w:val="clear" w:color="auto" w:fill="auto"/>
            <w:noWrap/>
            <w:vAlign w:val="center"/>
            <w:hideMark/>
          </w:tcPr>
          <w:p w14:paraId="34BCDB95"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434</w:t>
            </w:r>
            <w:r w:rsidR="00676A17" w:rsidRPr="00A577DF">
              <w:rPr>
                <w:b/>
                <w:bCs/>
                <w:color w:val="000000"/>
                <w:szCs w:val="18"/>
                <w:lang w:val="de-AT" w:eastAsia="fr-FR"/>
              </w:rPr>
              <w:t>,</w:t>
            </w:r>
            <w:r w:rsidRPr="00A577DF">
              <w:rPr>
                <w:b/>
                <w:bCs/>
                <w:color w:val="000000"/>
                <w:szCs w:val="18"/>
                <w:lang w:val="de-AT" w:eastAsia="fr-FR"/>
              </w:rPr>
              <w:t xml:space="preserve">146 </w:t>
            </w:r>
          </w:p>
        </w:tc>
        <w:tc>
          <w:tcPr>
            <w:tcW w:w="1360" w:type="dxa"/>
            <w:tcBorders>
              <w:top w:val="nil"/>
              <w:left w:val="nil"/>
              <w:bottom w:val="nil"/>
              <w:right w:val="nil"/>
            </w:tcBorders>
            <w:shd w:val="clear" w:color="auto" w:fill="auto"/>
            <w:noWrap/>
            <w:vAlign w:val="center"/>
            <w:hideMark/>
          </w:tcPr>
          <w:p w14:paraId="4C40C2A9"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348</w:t>
            </w:r>
            <w:r w:rsidR="00676A17" w:rsidRPr="00A577DF">
              <w:rPr>
                <w:b/>
                <w:bCs/>
                <w:color w:val="000000"/>
                <w:szCs w:val="18"/>
                <w:lang w:val="de-AT" w:eastAsia="fr-FR"/>
              </w:rPr>
              <w:t>,</w:t>
            </w:r>
            <w:r w:rsidRPr="00A577DF">
              <w:rPr>
                <w:b/>
                <w:bCs/>
                <w:color w:val="000000"/>
                <w:szCs w:val="18"/>
                <w:lang w:val="de-AT" w:eastAsia="fr-FR"/>
              </w:rPr>
              <w:t xml:space="preserve">732 </w:t>
            </w:r>
          </w:p>
        </w:tc>
        <w:tc>
          <w:tcPr>
            <w:tcW w:w="1200" w:type="dxa"/>
            <w:tcBorders>
              <w:top w:val="nil"/>
              <w:left w:val="nil"/>
              <w:bottom w:val="nil"/>
              <w:right w:val="nil"/>
            </w:tcBorders>
            <w:shd w:val="clear" w:color="auto" w:fill="auto"/>
            <w:noWrap/>
            <w:vAlign w:val="center"/>
            <w:hideMark/>
          </w:tcPr>
          <w:p w14:paraId="6B78BDEF"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-19</w:t>
            </w:r>
            <w:r w:rsidR="00676A17" w:rsidRPr="00A577DF">
              <w:rPr>
                <w:b/>
                <w:bCs/>
                <w:color w:val="000000"/>
                <w:szCs w:val="18"/>
                <w:lang w:val="de-AT" w:eastAsia="fr-FR"/>
              </w:rPr>
              <w:t>.</w:t>
            </w:r>
            <w:r w:rsidRPr="00A577DF">
              <w:rPr>
                <w:b/>
                <w:bCs/>
                <w:color w:val="000000"/>
                <w:szCs w:val="18"/>
                <w:lang w:val="de-AT" w:eastAsia="fr-FR"/>
              </w:rPr>
              <w:t>7</w:t>
            </w:r>
          </w:p>
        </w:tc>
      </w:tr>
      <w:tr w:rsidR="00F94AF6" w:rsidRPr="00A577DF" w14:paraId="18D86347" w14:textId="77777777" w:rsidTr="00EF05D1">
        <w:trPr>
          <w:trHeight w:val="290"/>
        </w:trPr>
        <w:tc>
          <w:tcPr>
            <w:tcW w:w="3320" w:type="dxa"/>
            <w:tcBorders>
              <w:top w:val="nil"/>
              <w:left w:val="nil"/>
              <w:bottom w:val="nil"/>
              <w:right w:val="nil"/>
            </w:tcBorders>
            <w:shd w:val="clear" w:color="auto" w:fill="auto"/>
            <w:noWrap/>
            <w:vAlign w:val="center"/>
            <w:hideMark/>
          </w:tcPr>
          <w:p w14:paraId="42227BEE"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color w:val="000000"/>
                <w:sz w:val="16"/>
                <w:szCs w:val="16"/>
                <w:lang w:val="de-AT" w:eastAsia="fr-FR"/>
              </w:rPr>
              <w:t xml:space="preserve">Davon Renault Russland </w:t>
            </w:r>
          </w:p>
        </w:tc>
        <w:tc>
          <w:tcPr>
            <w:tcW w:w="1360" w:type="dxa"/>
            <w:tcBorders>
              <w:top w:val="nil"/>
              <w:left w:val="nil"/>
              <w:bottom w:val="nil"/>
              <w:right w:val="nil"/>
            </w:tcBorders>
            <w:shd w:val="clear" w:color="auto" w:fill="auto"/>
            <w:noWrap/>
            <w:vAlign w:val="center"/>
            <w:hideMark/>
          </w:tcPr>
          <w:p w14:paraId="3FF92D15" w14:textId="77777777" w:rsidR="00D26979" w:rsidRPr="00A577DF" w:rsidRDefault="008B6935">
            <w:pPr>
              <w:spacing w:before="0" w:line="240" w:lineRule="auto"/>
              <w:jc w:val="right"/>
              <w:rPr>
                <w:rFonts w:ascii="Renault Group" w:eastAsia="Times New Roman" w:hAnsi="Renault Group" w:cs="Calibri"/>
                <w:color w:val="000000"/>
                <w:sz w:val="16"/>
                <w:szCs w:val="16"/>
                <w:lang w:val="de-AT" w:eastAsia="fr-FR"/>
              </w:rPr>
            </w:pPr>
            <w:r w:rsidRPr="00A577DF">
              <w:rPr>
                <w:color w:val="000000"/>
                <w:sz w:val="16"/>
                <w:szCs w:val="16"/>
                <w:lang w:val="de-AT" w:eastAsia="fr-FR"/>
              </w:rPr>
              <w:t xml:space="preserve">                   30</w:t>
            </w:r>
            <w:r w:rsidR="00676A17" w:rsidRPr="00A577DF">
              <w:rPr>
                <w:color w:val="000000"/>
                <w:sz w:val="16"/>
                <w:szCs w:val="16"/>
                <w:lang w:val="de-AT" w:eastAsia="fr-FR"/>
              </w:rPr>
              <w:t>,</w:t>
            </w:r>
            <w:r w:rsidRPr="00A577DF">
              <w:rPr>
                <w:color w:val="000000"/>
                <w:sz w:val="16"/>
                <w:szCs w:val="16"/>
                <w:lang w:val="de-AT" w:eastAsia="fr-FR"/>
              </w:rPr>
              <w:t xml:space="preserve">364 </w:t>
            </w:r>
          </w:p>
        </w:tc>
        <w:tc>
          <w:tcPr>
            <w:tcW w:w="1360" w:type="dxa"/>
            <w:tcBorders>
              <w:top w:val="nil"/>
              <w:left w:val="nil"/>
              <w:bottom w:val="nil"/>
              <w:right w:val="nil"/>
            </w:tcBorders>
            <w:shd w:val="clear" w:color="auto" w:fill="auto"/>
            <w:noWrap/>
            <w:vAlign w:val="center"/>
            <w:hideMark/>
          </w:tcPr>
          <w:p w14:paraId="55434D61" w14:textId="77777777" w:rsidR="00D26979" w:rsidRPr="00A577DF" w:rsidRDefault="008B6935">
            <w:pPr>
              <w:spacing w:before="0" w:line="240" w:lineRule="auto"/>
              <w:jc w:val="right"/>
              <w:rPr>
                <w:rFonts w:ascii="Renault Group" w:eastAsia="Times New Roman" w:hAnsi="Renault Group" w:cs="Calibri"/>
                <w:color w:val="000000"/>
                <w:sz w:val="16"/>
                <w:szCs w:val="16"/>
                <w:lang w:val="de-AT" w:eastAsia="fr-FR"/>
              </w:rPr>
            </w:pPr>
            <w:r w:rsidRPr="00A577DF">
              <w:rPr>
                <w:color w:val="000000"/>
                <w:sz w:val="16"/>
                <w:szCs w:val="16"/>
                <w:lang w:val="de-AT" w:eastAsia="fr-FR"/>
              </w:rPr>
              <w:t xml:space="preserve">                   22</w:t>
            </w:r>
            <w:r w:rsidR="00676A17" w:rsidRPr="00A577DF">
              <w:rPr>
                <w:color w:val="000000"/>
                <w:sz w:val="16"/>
                <w:szCs w:val="16"/>
                <w:lang w:val="de-AT" w:eastAsia="fr-FR"/>
              </w:rPr>
              <w:t>,</w:t>
            </w:r>
            <w:r w:rsidRPr="00A577DF">
              <w:rPr>
                <w:color w:val="000000"/>
                <w:sz w:val="16"/>
                <w:szCs w:val="16"/>
                <w:lang w:val="de-AT" w:eastAsia="fr-FR"/>
              </w:rPr>
              <w:t xml:space="preserve">392 </w:t>
            </w:r>
          </w:p>
        </w:tc>
        <w:tc>
          <w:tcPr>
            <w:tcW w:w="1200" w:type="dxa"/>
            <w:tcBorders>
              <w:top w:val="nil"/>
              <w:left w:val="nil"/>
              <w:bottom w:val="nil"/>
              <w:right w:val="nil"/>
            </w:tcBorders>
            <w:shd w:val="clear" w:color="auto" w:fill="auto"/>
            <w:noWrap/>
            <w:vAlign w:val="center"/>
            <w:hideMark/>
          </w:tcPr>
          <w:p w14:paraId="11FC5869" w14:textId="77777777" w:rsidR="00D26979" w:rsidRPr="00A577DF" w:rsidRDefault="008B6935">
            <w:pPr>
              <w:spacing w:before="0" w:line="240" w:lineRule="auto"/>
              <w:jc w:val="right"/>
              <w:rPr>
                <w:rFonts w:ascii="Renault Group" w:eastAsia="Times New Roman" w:hAnsi="Renault Group" w:cs="Calibri"/>
                <w:color w:val="000000"/>
                <w:sz w:val="16"/>
                <w:szCs w:val="16"/>
                <w:lang w:val="de-AT" w:eastAsia="fr-FR"/>
              </w:rPr>
            </w:pPr>
            <w:r w:rsidRPr="00A577DF">
              <w:rPr>
                <w:color w:val="000000"/>
                <w:sz w:val="16"/>
                <w:szCs w:val="16"/>
                <w:lang w:val="de-AT" w:eastAsia="fr-FR"/>
              </w:rPr>
              <w:t>-26</w:t>
            </w:r>
            <w:r w:rsidR="00676A17" w:rsidRPr="00A577DF">
              <w:rPr>
                <w:color w:val="000000"/>
                <w:sz w:val="16"/>
                <w:szCs w:val="16"/>
                <w:lang w:val="de-AT" w:eastAsia="fr-FR"/>
              </w:rPr>
              <w:t>.</w:t>
            </w:r>
            <w:r w:rsidRPr="00A577DF">
              <w:rPr>
                <w:color w:val="000000"/>
                <w:sz w:val="16"/>
                <w:szCs w:val="16"/>
                <w:lang w:val="de-AT" w:eastAsia="fr-FR"/>
              </w:rPr>
              <w:t>3</w:t>
            </w:r>
          </w:p>
        </w:tc>
      </w:tr>
      <w:tr w:rsidR="00F94AF6" w:rsidRPr="00A577DF" w14:paraId="2FB37EA2"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406557EF"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rFonts w:ascii="Renault Group" w:eastAsia="Times New Roman" w:hAnsi="Renault Group" w:cs="Calibri"/>
                <w:b/>
                <w:bCs/>
                <w:color w:val="000000"/>
                <w:sz w:val="16"/>
                <w:szCs w:val="16"/>
                <w:lang w:val="de-AT" w:eastAsia="fr-FR"/>
              </w:rPr>
              <w:t>RENAULT KOREA MOTORS</w:t>
            </w:r>
          </w:p>
        </w:tc>
        <w:tc>
          <w:tcPr>
            <w:tcW w:w="1360" w:type="dxa"/>
            <w:tcBorders>
              <w:top w:val="nil"/>
              <w:left w:val="nil"/>
              <w:bottom w:val="single" w:sz="12" w:space="0" w:color="auto"/>
              <w:right w:val="nil"/>
            </w:tcBorders>
            <w:shd w:val="clear" w:color="auto" w:fill="auto"/>
            <w:vAlign w:val="center"/>
            <w:hideMark/>
          </w:tcPr>
          <w:p w14:paraId="0AEB4E0F"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001E4DF3"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25A1151B"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F94AF6" w:rsidRPr="00A577DF" w14:paraId="3E2BF46A" w14:textId="77777777" w:rsidTr="00EF05D1">
        <w:trPr>
          <w:trHeight w:val="300"/>
        </w:trPr>
        <w:tc>
          <w:tcPr>
            <w:tcW w:w="3320" w:type="dxa"/>
            <w:tcBorders>
              <w:top w:val="nil"/>
              <w:left w:val="nil"/>
              <w:bottom w:val="nil"/>
              <w:right w:val="nil"/>
            </w:tcBorders>
            <w:shd w:val="clear" w:color="auto" w:fill="auto"/>
            <w:noWrap/>
            <w:vAlign w:val="center"/>
            <w:hideMark/>
          </w:tcPr>
          <w:p w14:paraId="140DDC34"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rFonts w:ascii="Renault Group" w:eastAsia="Times New Roman" w:hAnsi="Renault Group" w:cs="Calibri"/>
                <w:b/>
                <w:bCs/>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72C57813"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12</w:t>
            </w:r>
            <w:r w:rsidR="00676A17" w:rsidRPr="00A577DF">
              <w:rPr>
                <w:b/>
                <w:bCs/>
                <w:color w:val="000000"/>
                <w:szCs w:val="18"/>
                <w:lang w:val="de-AT" w:eastAsia="fr-FR"/>
              </w:rPr>
              <w:t>,</w:t>
            </w:r>
            <w:r w:rsidRPr="00A577DF">
              <w:rPr>
                <w:b/>
                <w:bCs/>
                <w:color w:val="000000"/>
                <w:szCs w:val="18"/>
                <w:lang w:val="de-AT" w:eastAsia="fr-FR"/>
              </w:rPr>
              <w:t xml:space="preserve">227 </w:t>
            </w:r>
          </w:p>
        </w:tc>
        <w:tc>
          <w:tcPr>
            <w:tcW w:w="1360" w:type="dxa"/>
            <w:tcBorders>
              <w:top w:val="nil"/>
              <w:left w:val="nil"/>
              <w:bottom w:val="nil"/>
              <w:right w:val="nil"/>
            </w:tcBorders>
            <w:shd w:val="clear" w:color="auto" w:fill="auto"/>
            <w:noWrap/>
            <w:vAlign w:val="center"/>
            <w:hideMark/>
          </w:tcPr>
          <w:p w14:paraId="1C9C7228"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12</w:t>
            </w:r>
            <w:r w:rsidR="00676A17" w:rsidRPr="00A577DF">
              <w:rPr>
                <w:b/>
                <w:bCs/>
                <w:color w:val="000000"/>
                <w:szCs w:val="18"/>
                <w:lang w:val="de-AT" w:eastAsia="fr-FR"/>
              </w:rPr>
              <w:t>,</w:t>
            </w:r>
            <w:r w:rsidRPr="00A577DF">
              <w:rPr>
                <w:b/>
                <w:bCs/>
                <w:color w:val="000000"/>
                <w:szCs w:val="18"/>
                <w:lang w:val="de-AT" w:eastAsia="fr-FR"/>
              </w:rPr>
              <w:t xml:space="preserve">032 </w:t>
            </w:r>
          </w:p>
        </w:tc>
        <w:tc>
          <w:tcPr>
            <w:tcW w:w="1200" w:type="dxa"/>
            <w:tcBorders>
              <w:top w:val="nil"/>
              <w:left w:val="nil"/>
              <w:bottom w:val="nil"/>
              <w:right w:val="nil"/>
            </w:tcBorders>
            <w:shd w:val="clear" w:color="auto" w:fill="auto"/>
            <w:noWrap/>
            <w:vAlign w:val="center"/>
            <w:hideMark/>
          </w:tcPr>
          <w:p w14:paraId="38D428BF"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-1</w:t>
            </w:r>
            <w:r w:rsidR="00676A17" w:rsidRPr="00A577DF">
              <w:rPr>
                <w:b/>
                <w:bCs/>
                <w:color w:val="000000"/>
                <w:szCs w:val="18"/>
                <w:lang w:val="de-AT" w:eastAsia="fr-FR"/>
              </w:rPr>
              <w:t>.</w:t>
            </w:r>
            <w:r w:rsidRPr="00A577DF">
              <w:rPr>
                <w:b/>
                <w:bCs/>
                <w:color w:val="000000"/>
                <w:szCs w:val="18"/>
                <w:lang w:val="de-AT" w:eastAsia="fr-FR"/>
              </w:rPr>
              <w:t>6</w:t>
            </w:r>
          </w:p>
        </w:tc>
      </w:tr>
      <w:tr w:rsidR="00F94AF6" w:rsidRPr="00A577DF" w14:paraId="701CFEB2"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374C55DC"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DACIA</w:t>
            </w:r>
          </w:p>
        </w:tc>
        <w:tc>
          <w:tcPr>
            <w:tcW w:w="1360" w:type="dxa"/>
            <w:tcBorders>
              <w:top w:val="nil"/>
              <w:left w:val="nil"/>
              <w:bottom w:val="single" w:sz="12" w:space="0" w:color="auto"/>
              <w:right w:val="nil"/>
            </w:tcBorders>
            <w:shd w:val="clear" w:color="auto" w:fill="auto"/>
            <w:vAlign w:val="center"/>
            <w:hideMark/>
          </w:tcPr>
          <w:p w14:paraId="06869A1D"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74D2FF0F"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5D8FC8F3"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20767A" w:rsidRPr="00A577DF" w14:paraId="299605FC" w14:textId="77777777" w:rsidTr="00EF05D1">
        <w:trPr>
          <w:trHeight w:val="300"/>
        </w:trPr>
        <w:tc>
          <w:tcPr>
            <w:tcW w:w="3320" w:type="dxa"/>
            <w:tcBorders>
              <w:top w:val="nil"/>
              <w:left w:val="nil"/>
              <w:bottom w:val="nil"/>
              <w:right w:val="nil"/>
            </w:tcBorders>
            <w:shd w:val="clear" w:color="auto" w:fill="auto"/>
            <w:noWrap/>
            <w:vAlign w:val="center"/>
            <w:hideMark/>
          </w:tcPr>
          <w:p w14:paraId="2363EC80"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4B74AB76"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109,837 </w:t>
            </w:r>
          </w:p>
        </w:tc>
        <w:tc>
          <w:tcPr>
            <w:tcW w:w="1360" w:type="dxa"/>
            <w:tcBorders>
              <w:top w:val="nil"/>
              <w:left w:val="nil"/>
              <w:bottom w:val="nil"/>
              <w:right w:val="nil"/>
            </w:tcBorders>
            <w:shd w:val="clear" w:color="auto" w:fill="auto"/>
            <w:noWrap/>
            <w:vAlign w:val="center"/>
            <w:hideMark/>
          </w:tcPr>
          <w:p w14:paraId="55E2BA36"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126,443 </w:t>
            </w:r>
          </w:p>
        </w:tc>
        <w:tc>
          <w:tcPr>
            <w:tcW w:w="1200" w:type="dxa"/>
            <w:tcBorders>
              <w:top w:val="nil"/>
              <w:left w:val="nil"/>
              <w:bottom w:val="nil"/>
              <w:right w:val="nil"/>
            </w:tcBorders>
            <w:shd w:val="clear" w:color="auto" w:fill="auto"/>
            <w:noWrap/>
            <w:vAlign w:val="center"/>
            <w:hideMark/>
          </w:tcPr>
          <w:p w14:paraId="760E9C7B"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15.1</w:t>
            </w:r>
          </w:p>
        </w:tc>
      </w:tr>
      <w:tr w:rsidR="0020767A" w:rsidRPr="00A577DF" w14:paraId="7775760A" w14:textId="77777777" w:rsidTr="00EF05D1">
        <w:trPr>
          <w:trHeight w:val="290"/>
        </w:trPr>
        <w:tc>
          <w:tcPr>
            <w:tcW w:w="3320" w:type="dxa"/>
            <w:tcBorders>
              <w:top w:val="nil"/>
              <w:left w:val="nil"/>
              <w:bottom w:val="nil"/>
              <w:right w:val="nil"/>
            </w:tcBorders>
            <w:shd w:val="clear" w:color="auto" w:fill="auto"/>
            <w:noWrap/>
            <w:vAlign w:val="center"/>
            <w:hideMark/>
          </w:tcPr>
          <w:p w14:paraId="7B704C37"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LCV</w:t>
            </w:r>
          </w:p>
        </w:tc>
        <w:tc>
          <w:tcPr>
            <w:tcW w:w="1360" w:type="dxa"/>
            <w:tcBorders>
              <w:top w:val="nil"/>
              <w:left w:val="nil"/>
              <w:bottom w:val="nil"/>
              <w:right w:val="nil"/>
            </w:tcBorders>
            <w:shd w:val="clear" w:color="auto" w:fill="auto"/>
            <w:noWrap/>
            <w:vAlign w:val="center"/>
            <w:hideMark/>
          </w:tcPr>
          <w:p w14:paraId="1E28D89D"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11,055 </w:t>
            </w:r>
          </w:p>
        </w:tc>
        <w:tc>
          <w:tcPr>
            <w:tcW w:w="1360" w:type="dxa"/>
            <w:tcBorders>
              <w:top w:val="nil"/>
              <w:left w:val="nil"/>
              <w:bottom w:val="nil"/>
              <w:right w:val="nil"/>
            </w:tcBorders>
            <w:shd w:val="clear" w:color="auto" w:fill="auto"/>
            <w:noWrap/>
            <w:vAlign w:val="center"/>
            <w:hideMark/>
          </w:tcPr>
          <w:p w14:paraId="200AB19D"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1,472 </w:t>
            </w:r>
          </w:p>
        </w:tc>
        <w:tc>
          <w:tcPr>
            <w:tcW w:w="1200" w:type="dxa"/>
            <w:tcBorders>
              <w:top w:val="nil"/>
              <w:left w:val="nil"/>
              <w:bottom w:val="nil"/>
              <w:right w:val="nil"/>
            </w:tcBorders>
            <w:shd w:val="clear" w:color="auto" w:fill="auto"/>
            <w:noWrap/>
            <w:vAlign w:val="center"/>
            <w:hideMark/>
          </w:tcPr>
          <w:p w14:paraId="554C9ED0"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-86.7</w:t>
            </w:r>
          </w:p>
        </w:tc>
      </w:tr>
      <w:tr w:rsidR="0020767A" w:rsidRPr="00A577DF" w14:paraId="6DF18DF6" w14:textId="77777777" w:rsidTr="00EF05D1">
        <w:trPr>
          <w:trHeight w:val="290"/>
        </w:trPr>
        <w:tc>
          <w:tcPr>
            <w:tcW w:w="3320" w:type="dxa"/>
            <w:tcBorders>
              <w:top w:val="nil"/>
              <w:left w:val="nil"/>
              <w:bottom w:val="nil"/>
              <w:right w:val="nil"/>
            </w:tcBorders>
            <w:shd w:val="clear" w:color="auto" w:fill="auto"/>
            <w:noWrap/>
            <w:vAlign w:val="center"/>
            <w:hideMark/>
          </w:tcPr>
          <w:p w14:paraId="703E4DB9"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PC + LCV</w:t>
            </w:r>
          </w:p>
        </w:tc>
        <w:tc>
          <w:tcPr>
            <w:tcW w:w="1360" w:type="dxa"/>
            <w:tcBorders>
              <w:top w:val="nil"/>
              <w:left w:val="nil"/>
              <w:bottom w:val="nil"/>
              <w:right w:val="nil"/>
            </w:tcBorders>
            <w:shd w:val="clear" w:color="auto" w:fill="auto"/>
            <w:noWrap/>
            <w:vAlign w:val="center"/>
            <w:hideMark/>
          </w:tcPr>
          <w:p w14:paraId="2138A839"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120,892 </w:t>
            </w:r>
          </w:p>
        </w:tc>
        <w:tc>
          <w:tcPr>
            <w:tcW w:w="1360" w:type="dxa"/>
            <w:tcBorders>
              <w:top w:val="nil"/>
              <w:left w:val="nil"/>
              <w:bottom w:val="nil"/>
              <w:right w:val="nil"/>
            </w:tcBorders>
            <w:shd w:val="clear" w:color="auto" w:fill="auto"/>
            <w:noWrap/>
            <w:vAlign w:val="center"/>
            <w:hideMark/>
          </w:tcPr>
          <w:p w14:paraId="159A497C"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127,915 </w:t>
            </w:r>
          </w:p>
        </w:tc>
        <w:tc>
          <w:tcPr>
            <w:tcW w:w="1200" w:type="dxa"/>
            <w:tcBorders>
              <w:top w:val="nil"/>
              <w:left w:val="nil"/>
              <w:bottom w:val="nil"/>
              <w:right w:val="nil"/>
            </w:tcBorders>
            <w:shd w:val="clear" w:color="auto" w:fill="auto"/>
            <w:noWrap/>
            <w:vAlign w:val="center"/>
            <w:hideMark/>
          </w:tcPr>
          <w:p w14:paraId="5B01C50E"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5.8</w:t>
            </w:r>
          </w:p>
        </w:tc>
      </w:tr>
      <w:tr w:rsidR="00F94AF6" w:rsidRPr="00A577DF" w14:paraId="407228E1"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66E01B70"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LADA</w:t>
            </w:r>
          </w:p>
        </w:tc>
        <w:tc>
          <w:tcPr>
            <w:tcW w:w="1360" w:type="dxa"/>
            <w:tcBorders>
              <w:top w:val="nil"/>
              <w:left w:val="nil"/>
              <w:bottom w:val="single" w:sz="12" w:space="0" w:color="auto"/>
              <w:right w:val="nil"/>
            </w:tcBorders>
            <w:shd w:val="clear" w:color="auto" w:fill="auto"/>
            <w:vAlign w:val="center"/>
            <w:hideMark/>
          </w:tcPr>
          <w:p w14:paraId="3E89884E"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3D3EF266"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32E619A2"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20767A" w:rsidRPr="00A577DF" w14:paraId="5611C8A6" w14:textId="77777777" w:rsidTr="00EF05D1">
        <w:trPr>
          <w:trHeight w:val="300"/>
        </w:trPr>
        <w:tc>
          <w:tcPr>
            <w:tcW w:w="3320" w:type="dxa"/>
            <w:tcBorders>
              <w:top w:val="nil"/>
              <w:left w:val="nil"/>
              <w:bottom w:val="nil"/>
              <w:right w:val="nil"/>
            </w:tcBorders>
            <w:shd w:val="clear" w:color="auto" w:fill="auto"/>
            <w:noWrap/>
            <w:vAlign w:val="center"/>
            <w:hideMark/>
          </w:tcPr>
          <w:p w14:paraId="76970F16"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1C2AA68C"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88,381 </w:t>
            </w:r>
          </w:p>
        </w:tc>
        <w:tc>
          <w:tcPr>
            <w:tcW w:w="1360" w:type="dxa"/>
            <w:tcBorders>
              <w:top w:val="nil"/>
              <w:left w:val="nil"/>
              <w:bottom w:val="nil"/>
              <w:right w:val="nil"/>
            </w:tcBorders>
            <w:shd w:val="clear" w:color="auto" w:fill="auto"/>
            <w:noWrap/>
            <w:vAlign w:val="center"/>
            <w:hideMark/>
          </w:tcPr>
          <w:p w14:paraId="2B43FD89"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57,832 </w:t>
            </w:r>
          </w:p>
        </w:tc>
        <w:tc>
          <w:tcPr>
            <w:tcW w:w="1200" w:type="dxa"/>
            <w:tcBorders>
              <w:top w:val="nil"/>
              <w:left w:val="nil"/>
              <w:bottom w:val="nil"/>
              <w:right w:val="nil"/>
            </w:tcBorders>
            <w:shd w:val="clear" w:color="auto" w:fill="auto"/>
            <w:noWrap/>
            <w:vAlign w:val="center"/>
            <w:hideMark/>
          </w:tcPr>
          <w:p w14:paraId="6A623ED8"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-34.6</w:t>
            </w:r>
          </w:p>
        </w:tc>
      </w:tr>
      <w:tr w:rsidR="0020767A" w:rsidRPr="00A577DF" w14:paraId="06D29167" w14:textId="77777777" w:rsidTr="00EF05D1">
        <w:trPr>
          <w:trHeight w:val="290"/>
        </w:trPr>
        <w:tc>
          <w:tcPr>
            <w:tcW w:w="3320" w:type="dxa"/>
            <w:tcBorders>
              <w:top w:val="nil"/>
              <w:left w:val="nil"/>
              <w:bottom w:val="nil"/>
              <w:right w:val="nil"/>
            </w:tcBorders>
            <w:shd w:val="clear" w:color="auto" w:fill="auto"/>
            <w:noWrap/>
            <w:vAlign w:val="center"/>
            <w:hideMark/>
          </w:tcPr>
          <w:p w14:paraId="034B5C87"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LCV</w:t>
            </w:r>
          </w:p>
        </w:tc>
        <w:tc>
          <w:tcPr>
            <w:tcW w:w="1360" w:type="dxa"/>
            <w:tcBorders>
              <w:top w:val="nil"/>
              <w:left w:val="nil"/>
              <w:bottom w:val="nil"/>
              <w:right w:val="nil"/>
            </w:tcBorders>
            <w:shd w:val="clear" w:color="auto" w:fill="auto"/>
            <w:noWrap/>
            <w:vAlign w:val="center"/>
            <w:hideMark/>
          </w:tcPr>
          <w:p w14:paraId="7D2960CF"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2,268 </w:t>
            </w:r>
          </w:p>
        </w:tc>
        <w:tc>
          <w:tcPr>
            <w:tcW w:w="1360" w:type="dxa"/>
            <w:tcBorders>
              <w:top w:val="nil"/>
              <w:left w:val="nil"/>
              <w:bottom w:val="nil"/>
              <w:right w:val="nil"/>
            </w:tcBorders>
            <w:shd w:val="clear" w:color="auto" w:fill="auto"/>
            <w:noWrap/>
            <w:vAlign w:val="center"/>
            <w:hideMark/>
          </w:tcPr>
          <w:p w14:paraId="3773E721"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2,776 </w:t>
            </w:r>
          </w:p>
        </w:tc>
        <w:tc>
          <w:tcPr>
            <w:tcW w:w="1200" w:type="dxa"/>
            <w:tcBorders>
              <w:top w:val="nil"/>
              <w:left w:val="nil"/>
              <w:bottom w:val="nil"/>
              <w:right w:val="nil"/>
            </w:tcBorders>
            <w:shd w:val="clear" w:color="auto" w:fill="auto"/>
            <w:noWrap/>
            <w:vAlign w:val="center"/>
            <w:hideMark/>
          </w:tcPr>
          <w:p w14:paraId="7476A631"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22.4</w:t>
            </w:r>
          </w:p>
        </w:tc>
      </w:tr>
      <w:tr w:rsidR="0020767A" w:rsidRPr="00A577DF" w14:paraId="301C80A9" w14:textId="77777777" w:rsidTr="00EF05D1">
        <w:trPr>
          <w:trHeight w:val="290"/>
        </w:trPr>
        <w:tc>
          <w:tcPr>
            <w:tcW w:w="3320" w:type="dxa"/>
            <w:tcBorders>
              <w:top w:val="nil"/>
              <w:left w:val="nil"/>
              <w:bottom w:val="nil"/>
              <w:right w:val="nil"/>
            </w:tcBorders>
            <w:shd w:val="clear" w:color="auto" w:fill="auto"/>
            <w:noWrap/>
            <w:vAlign w:val="center"/>
            <w:hideMark/>
          </w:tcPr>
          <w:p w14:paraId="5720C999"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PC + LCV</w:t>
            </w:r>
          </w:p>
        </w:tc>
        <w:tc>
          <w:tcPr>
            <w:tcW w:w="1360" w:type="dxa"/>
            <w:tcBorders>
              <w:top w:val="nil"/>
              <w:left w:val="nil"/>
              <w:bottom w:val="nil"/>
              <w:right w:val="nil"/>
            </w:tcBorders>
            <w:shd w:val="clear" w:color="auto" w:fill="auto"/>
            <w:noWrap/>
            <w:vAlign w:val="center"/>
            <w:hideMark/>
          </w:tcPr>
          <w:p w14:paraId="1FE2E0BB"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90,649 </w:t>
            </w:r>
          </w:p>
        </w:tc>
        <w:tc>
          <w:tcPr>
            <w:tcW w:w="1360" w:type="dxa"/>
            <w:tcBorders>
              <w:top w:val="nil"/>
              <w:left w:val="nil"/>
              <w:bottom w:val="nil"/>
              <w:right w:val="nil"/>
            </w:tcBorders>
            <w:shd w:val="clear" w:color="auto" w:fill="auto"/>
            <w:noWrap/>
            <w:vAlign w:val="center"/>
            <w:hideMark/>
          </w:tcPr>
          <w:p w14:paraId="5DD419DB"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60,608 </w:t>
            </w:r>
          </w:p>
        </w:tc>
        <w:tc>
          <w:tcPr>
            <w:tcW w:w="1200" w:type="dxa"/>
            <w:tcBorders>
              <w:top w:val="nil"/>
              <w:left w:val="nil"/>
              <w:bottom w:val="nil"/>
              <w:right w:val="nil"/>
            </w:tcBorders>
            <w:shd w:val="clear" w:color="auto" w:fill="auto"/>
            <w:noWrap/>
            <w:vAlign w:val="center"/>
            <w:hideMark/>
          </w:tcPr>
          <w:p w14:paraId="2CF0E20B"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-33.1</w:t>
            </w:r>
          </w:p>
        </w:tc>
      </w:tr>
      <w:tr w:rsidR="00F94AF6" w:rsidRPr="00A577DF" w14:paraId="480BB78F"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5080A3DE"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ALPINE</w:t>
            </w:r>
          </w:p>
        </w:tc>
        <w:tc>
          <w:tcPr>
            <w:tcW w:w="1360" w:type="dxa"/>
            <w:tcBorders>
              <w:top w:val="nil"/>
              <w:left w:val="nil"/>
              <w:bottom w:val="single" w:sz="12" w:space="0" w:color="auto"/>
              <w:right w:val="nil"/>
            </w:tcBorders>
            <w:shd w:val="clear" w:color="auto" w:fill="auto"/>
            <w:vAlign w:val="center"/>
            <w:hideMark/>
          </w:tcPr>
          <w:p w14:paraId="721B58A2"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1E2428A7"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6C38546D"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F94AF6" w:rsidRPr="00A577DF" w14:paraId="29516249" w14:textId="77777777" w:rsidTr="00EF05D1">
        <w:trPr>
          <w:trHeight w:val="300"/>
        </w:trPr>
        <w:tc>
          <w:tcPr>
            <w:tcW w:w="3320" w:type="dxa"/>
            <w:tcBorders>
              <w:top w:val="nil"/>
              <w:left w:val="nil"/>
              <w:bottom w:val="nil"/>
              <w:right w:val="nil"/>
            </w:tcBorders>
            <w:shd w:val="clear" w:color="auto" w:fill="auto"/>
            <w:noWrap/>
            <w:vAlign w:val="center"/>
            <w:hideMark/>
          </w:tcPr>
          <w:p w14:paraId="048DBA66"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rFonts w:ascii="Renault Group" w:eastAsia="Times New Roman" w:hAnsi="Renault Group" w:cs="Calibri"/>
                <w:b/>
                <w:bCs/>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4C349F8A"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424 </w:t>
            </w:r>
          </w:p>
        </w:tc>
        <w:tc>
          <w:tcPr>
            <w:tcW w:w="1360" w:type="dxa"/>
            <w:tcBorders>
              <w:top w:val="nil"/>
              <w:left w:val="nil"/>
              <w:bottom w:val="nil"/>
              <w:right w:val="nil"/>
            </w:tcBorders>
            <w:shd w:val="clear" w:color="auto" w:fill="auto"/>
            <w:noWrap/>
            <w:vAlign w:val="center"/>
            <w:hideMark/>
          </w:tcPr>
          <w:p w14:paraId="19D94BB9"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709 </w:t>
            </w:r>
          </w:p>
        </w:tc>
        <w:tc>
          <w:tcPr>
            <w:tcW w:w="1200" w:type="dxa"/>
            <w:tcBorders>
              <w:top w:val="nil"/>
              <w:left w:val="nil"/>
              <w:bottom w:val="nil"/>
              <w:right w:val="nil"/>
            </w:tcBorders>
            <w:shd w:val="clear" w:color="auto" w:fill="auto"/>
            <w:noWrap/>
            <w:vAlign w:val="center"/>
            <w:hideMark/>
          </w:tcPr>
          <w:p w14:paraId="403AC2D6"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67</w:t>
            </w:r>
            <w:r w:rsidR="00676A17" w:rsidRPr="00A577DF">
              <w:rPr>
                <w:b/>
                <w:bCs/>
                <w:color w:val="000000"/>
                <w:szCs w:val="18"/>
                <w:lang w:val="de-AT" w:eastAsia="fr-FR"/>
              </w:rPr>
              <w:t>.</w:t>
            </w:r>
            <w:r w:rsidRPr="00A577DF">
              <w:rPr>
                <w:b/>
                <w:bCs/>
                <w:color w:val="000000"/>
                <w:szCs w:val="18"/>
                <w:lang w:val="de-AT" w:eastAsia="fr-FR"/>
              </w:rPr>
              <w:t>2</w:t>
            </w:r>
          </w:p>
        </w:tc>
      </w:tr>
      <w:tr w:rsidR="00F94AF6" w:rsidRPr="00A577DF" w14:paraId="5302EC10"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32345C7E"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JINBEI&amp;HUASONG</w:t>
            </w:r>
          </w:p>
        </w:tc>
        <w:tc>
          <w:tcPr>
            <w:tcW w:w="1360" w:type="dxa"/>
            <w:tcBorders>
              <w:top w:val="nil"/>
              <w:left w:val="nil"/>
              <w:bottom w:val="single" w:sz="12" w:space="0" w:color="auto"/>
              <w:right w:val="nil"/>
            </w:tcBorders>
            <w:shd w:val="clear" w:color="auto" w:fill="auto"/>
            <w:vAlign w:val="center"/>
            <w:hideMark/>
          </w:tcPr>
          <w:p w14:paraId="1DCD1CAD"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60D1D696"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6D222C1B"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20767A" w:rsidRPr="00A577DF" w14:paraId="3658C66B" w14:textId="77777777" w:rsidTr="00EF05D1">
        <w:trPr>
          <w:trHeight w:val="300"/>
        </w:trPr>
        <w:tc>
          <w:tcPr>
            <w:tcW w:w="3320" w:type="dxa"/>
            <w:tcBorders>
              <w:top w:val="nil"/>
              <w:left w:val="nil"/>
              <w:bottom w:val="nil"/>
              <w:right w:val="nil"/>
            </w:tcBorders>
            <w:shd w:val="clear" w:color="auto" w:fill="auto"/>
            <w:noWrap/>
            <w:vAlign w:val="center"/>
            <w:hideMark/>
          </w:tcPr>
          <w:p w14:paraId="3226FD27"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1CCA84C1"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22 </w:t>
            </w:r>
          </w:p>
        </w:tc>
        <w:tc>
          <w:tcPr>
            <w:tcW w:w="1360" w:type="dxa"/>
            <w:tcBorders>
              <w:top w:val="nil"/>
              <w:left w:val="nil"/>
              <w:bottom w:val="nil"/>
              <w:right w:val="nil"/>
            </w:tcBorders>
            <w:shd w:val="clear" w:color="auto" w:fill="auto"/>
            <w:noWrap/>
            <w:vAlign w:val="center"/>
            <w:hideMark/>
          </w:tcPr>
          <w:p w14:paraId="2053B3CF"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 </w:t>
            </w:r>
          </w:p>
        </w:tc>
        <w:tc>
          <w:tcPr>
            <w:tcW w:w="1200" w:type="dxa"/>
            <w:tcBorders>
              <w:top w:val="nil"/>
              <w:left w:val="nil"/>
              <w:bottom w:val="nil"/>
              <w:right w:val="nil"/>
            </w:tcBorders>
            <w:shd w:val="clear" w:color="auto" w:fill="auto"/>
            <w:vAlign w:val="center"/>
            <w:hideMark/>
          </w:tcPr>
          <w:p w14:paraId="4625E1EB"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-100.0</w:t>
            </w:r>
          </w:p>
        </w:tc>
      </w:tr>
      <w:tr w:rsidR="0020767A" w:rsidRPr="00A577DF" w14:paraId="5A2B56CD" w14:textId="77777777" w:rsidTr="00EF05D1">
        <w:trPr>
          <w:trHeight w:val="290"/>
        </w:trPr>
        <w:tc>
          <w:tcPr>
            <w:tcW w:w="3320" w:type="dxa"/>
            <w:tcBorders>
              <w:top w:val="nil"/>
              <w:left w:val="nil"/>
              <w:bottom w:val="nil"/>
              <w:right w:val="nil"/>
            </w:tcBorders>
            <w:shd w:val="clear" w:color="auto" w:fill="auto"/>
            <w:noWrap/>
            <w:vAlign w:val="center"/>
            <w:hideMark/>
          </w:tcPr>
          <w:p w14:paraId="06C0CCBE"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LCV</w:t>
            </w:r>
          </w:p>
        </w:tc>
        <w:tc>
          <w:tcPr>
            <w:tcW w:w="1360" w:type="dxa"/>
            <w:tcBorders>
              <w:top w:val="nil"/>
              <w:left w:val="nil"/>
              <w:bottom w:val="nil"/>
              <w:right w:val="nil"/>
            </w:tcBorders>
            <w:shd w:val="clear" w:color="auto" w:fill="auto"/>
            <w:noWrap/>
            <w:vAlign w:val="center"/>
            <w:hideMark/>
          </w:tcPr>
          <w:p w14:paraId="2D7B4EA5"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6,407 </w:t>
            </w:r>
          </w:p>
        </w:tc>
        <w:tc>
          <w:tcPr>
            <w:tcW w:w="1360" w:type="dxa"/>
            <w:tcBorders>
              <w:top w:val="nil"/>
              <w:left w:val="nil"/>
              <w:bottom w:val="nil"/>
              <w:right w:val="nil"/>
            </w:tcBorders>
            <w:shd w:val="clear" w:color="auto" w:fill="auto"/>
            <w:noWrap/>
            <w:vAlign w:val="center"/>
            <w:hideMark/>
          </w:tcPr>
          <w:p w14:paraId="6E84DD91"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 </w:t>
            </w:r>
          </w:p>
        </w:tc>
        <w:tc>
          <w:tcPr>
            <w:tcW w:w="1200" w:type="dxa"/>
            <w:tcBorders>
              <w:top w:val="nil"/>
              <w:left w:val="nil"/>
              <w:bottom w:val="nil"/>
              <w:right w:val="nil"/>
            </w:tcBorders>
            <w:shd w:val="clear" w:color="auto" w:fill="auto"/>
            <w:vAlign w:val="center"/>
            <w:hideMark/>
          </w:tcPr>
          <w:p w14:paraId="7A34E468"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-100.0</w:t>
            </w:r>
          </w:p>
        </w:tc>
      </w:tr>
      <w:tr w:rsidR="0020767A" w:rsidRPr="00A577DF" w14:paraId="5F08129F" w14:textId="77777777" w:rsidTr="00EF05D1">
        <w:trPr>
          <w:trHeight w:val="290"/>
        </w:trPr>
        <w:tc>
          <w:tcPr>
            <w:tcW w:w="3320" w:type="dxa"/>
            <w:tcBorders>
              <w:top w:val="nil"/>
              <w:left w:val="nil"/>
              <w:bottom w:val="nil"/>
              <w:right w:val="nil"/>
            </w:tcBorders>
            <w:shd w:val="clear" w:color="auto" w:fill="auto"/>
            <w:noWrap/>
            <w:vAlign w:val="center"/>
            <w:hideMark/>
          </w:tcPr>
          <w:p w14:paraId="4BADDB67"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PC + LCV</w:t>
            </w:r>
          </w:p>
        </w:tc>
        <w:tc>
          <w:tcPr>
            <w:tcW w:w="1360" w:type="dxa"/>
            <w:tcBorders>
              <w:top w:val="nil"/>
              <w:left w:val="nil"/>
              <w:bottom w:val="nil"/>
              <w:right w:val="nil"/>
            </w:tcBorders>
            <w:shd w:val="clear" w:color="auto" w:fill="auto"/>
            <w:noWrap/>
            <w:vAlign w:val="center"/>
            <w:hideMark/>
          </w:tcPr>
          <w:p w14:paraId="67C6CB98"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6,429 </w:t>
            </w:r>
          </w:p>
        </w:tc>
        <w:tc>
          <w:tcPr>
            <w:tcW w:w="1360" w:type="dxa"/>
            <w:tcBorders>
              <w:top w:val="nil"/>
              <w:left w:val="nil"/>
              <w:bottom w:val="nil"/>
              <w:right w:val="nil"/>
            </w:tcBorders>
            <w:shd w:val="clear" w:color="auto" w:fill="auto"/>
            <w:noWrap/>
            <w:vAlign w:val="center"/>
            <w:hideMark/>
          </w:tcPr>
          <w:p w14:paraId="507D6381"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 </w:t>
            </w:r>
          </w:p>
        </w:tc>
        <w:tc>
          <w:tcPr>
            <w:tcW w:w="1200" w:type="dxa"/>
            <w:tcBorders>
              <w:top w:val="nil"/>
              <w:left w:val="nil"/>
              <w:bottom w:val="nil"/>
              <w:right w:val="nil"/>
            </w:tcBorders>
            <w:shd w:val="clear" w:color="auto" w:fill="auto"/>
            <w:vAlign w:val="center"/>
            <w:hideMark/>
          </w:tcPr>
          <w:p w14:paraId="755F2B2B"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-100.0</w:t>
            </w:r>
          </w:p>
        </w:tc>
      </w:tr>
      <w:tr w:rsidR="00F94AF6" w:rsidRPr="00A577DF" w14:paraId="16CF9979"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53BF3D4B" w14:textId="77777777" w:rsidR="00D26979" w:rsidRPr="00A577DF" w:rsidRDefault="008B6935">
            <w:pPr>
              <w:spacing w:before="0" w:line="240" w:lineRule="auto"/>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EVEASY</w:t>
            </w:r>
          </w:p>
        </w:tc>
        <w:tc>
          <w:tcPr>
            <w:tcW w:w="1360" w:type="dxa"/>
            <w:tcBorders>
              <w:top w:val="nil"/>
              <w:left w:val="nil"/>
              <w:bottom w:val="single" w:sz="12" w:space="0" w:color="auto"/>
              <w:right w:val="nil"/>
            </w:tcBorders>
            <w:shd w:val="clear" w:color="auto" w:fill="auto"/>
            <w:vAlign w:val="center"/>
            <w:hideMark/>
          </w:tcPr>
          <w:p w14:paraId="6A9F56C9"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7DD1567A"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62EF7104"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F94AF6" w:rsidRPr="00A577DF" w14:paraId="21DE9F14" w14:textId="77777777" w:rsidTr="00EF05D1">
        <w:trPr>
          <w:trHeight w:val="300"/>
        </w:trPr>
        <w:tc>
          <w:tcPr>
            <w:tcW w:w="3320" w:type="dxa"/>
            <w:tcBorders>
              <w:top w:val="nil"/>
              <w:left w:val="nil"/>
              <w:bottom w:val="nil"/>
              <w:right w:val="nil"/>
            </w:tcBorders>
            <w:shd w:val="clear" w:color="auto" w:fill="auto"/>
            <w:noWrap/>
            <w:vAlign w:val="center"/>
            <w:hideMark/>
          </w:tcPr>
          <w:p w14:paraId="353F6377"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rFonts w:ascii="Renault Group" w:eastAsia="Times New Roman" w:hAnsi="Renault Group" w:cs="Calibri"/>
                <w:b/>
                <w:bCs/>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5BD7A206"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479 </w:t>
            </w:r>
          </w:p>
        </w:tc>
        <w:tc>
          <w:tcPr>
            <w:tcW w:w="1360" w:type="dxa"/>
            <w:tcBorders>
              <w:top w:val="nil"/>
              <w:left w:val="nil"/>
              <w:bottom w:val="nil"/>
              <w:right w:val="nil"/>
            </w:tcBorders>
            <w:shd w:val="clear" w:color="auto" w:fill="auto"/>
            <w:noWrap/>
            <w:vAlign w:val="center"/>
            <w:hideMark/>
          </w:tcPr>
          <w:p w14:paraId="7A6F9931"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1</w:t>
            </w:r>
            <w:r w:rsidR="00676A17" w:rsidRPr="00A577DF">
              <w:rPr>
                <w:b/>
                <w:bCs/>
                <w:color w:val="000000"/>
                <w:szCs w:val="18"/>
                <w:lang w:val="de-AT" w:eastAsia="fr-FR"/>
              </w:rPr>
              <w:t>,</w:t>
            </w:r>
            <w:r w:rsidRPr="00A577DF">
              <w:rPr>
                <w:b/>
                <w:bCs/>
                <w:color w:val="000000"/>
                <w:szCs w:val="18"/>
                <w:lang w:val="de-AT" w:eastAsia="fr-FR"/>
              </w:rPr>
              <w:t xml:space="preserve">737 </w:t>
            </w:r>
          </w:p>
        </w:tc>
        <w:tc>
          <w:tcPr>
            <w:tcW w:w="1200" w:type="dxa"/>
            <w:tcBorders>
              <w:top w:val="nil"/>
              <w:left w:val="nil"/>
              <w:bottom w:val="nil"/>
              <w:right w:val="nil"/>
            </w:tcBorders>
            <w:shd w:val="clear" w:color="auto" w:fill="auto"/>
            <w:noWrap/>
            <w:vAlign w:val="center"/>
            <w:hideMark/>
          </w:tcPr>
          <w:p w14:paraId="2654E4EA"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262</w:t>
            </w:r>
            <w:r w:rsidR="00676A17" w:rsidRPr="00A577DF">
              <w:rPr>
                <w:b/>
                <w:bCs/>
                <w:color w:val="000000"/>
                <w:szCs w:val="18"/>
                <w:lang w:val="de-AT" w:eastAsia="fr-FR"/>
              </w:rPr>
              <w:t>.</w:t>
            </w:r>
            <w:r w:rsidRPr="00A577DF">
              <w:rPr>
                <w:b/>
                <w:bCs/>
                <w:color w:val="000000"/>
                <w:szCs w:val="18"/>
                <w:lang w:val="de-AT" w:eastAsia="fr-FR"/>
              </w:rPr>
              <w:t>6</w:t>
            </w:r>
          </w:p>
        </w:tc>
      </w:tr>
      <w:tr w:rsidR="00F94AF6" w:rsidRPr="00A577DF" w14:paraId="221F9976" w14:textId="77777777" w:rsidTr="00EF05D1">
        <w:trPr>
          <w:trHeight w:val="300"/>
        </w:trPr>
        <w:tc>
          <w:tcPr>
            <w:tcW w:w="3320" w:type="dxa"/>
            <w:tcBorders>
              <w:top w:val="nil"/>
              <w:left w:val="nil"/>
              <w:bottom w:val="single" w:sz="12" w:space="0" w:color="auto"/>
              <w:right w:val="nil"/>
            </w:tcBorders>
            <w:shd w:val="clear" w:color="auto" w:fill="auto"/>
            <w:noWrap/>
            <w:vAlign w:val="center"/>
            <w:hideMark/>
          </w:tcPr>
          <w:p w14:paraId="74899356" w14:textId="78F62027" w:rsidR="00D26979" w:rsidRPr="00A577DF" w:rsidRDefault="000B349B">
            <w:pPr>
              <w:spacing w:before="0" w:line="240" w:lineRule="auto"/>
              <w:rPr>
                <w:rFonts w:ascii="Renault Group" w:eastAsia="Times New Roman" w:hAnsi="Renault Group" w:cs="Calibri"/>
                <w:b/>
                <w:bCs/>
                <w:color w:val="000000"/>
                <w:sz w:val="16"/>
                <w:szCs w:val="16"/>
                <w:lang w:val="de-AT" w:eastAsia="fr-FR"/>
              </w:rPr>
            </w:pPr>
            <w:r>
              <w:rPr>
                <w:b/>
                <w:bCs/>
                <w:color w:val="000000"/>
                <w:sz w:val="16"/>
                <w:szCs w:val="16"/>
                <w:lang w:val="de-AT" w:eastAsia="fr-FR"/>
              </w:rPr>
              <w:t>RENAULT GROUP</w:t>
            </w:r>
          </w:p>
        </w:tc>
        <w:tc>
          <w:tcPr>
            <w:tcW w:w="1360" w:type="dxa"/>
            <w:tcBorders>
              <w:top w:val="nil"/>
              <w:left w:val="nil"/>
              <w:bottom w:val="single" w:sz="12" w:space="0" w:color="auto"/>
              <w:right w:val="nil"/>
            </w:tcBorders>
            <w:shd w:val="clear" w:color="auto" w:fill="auto"/>
            <w:vAlign w:val="center"/>
            <w:hideMark/>
          </w:tcPr>
          <w:p w14:paraId="5CE6389C"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360" w:type="dxa"/>
            <w:tcBorders>
              <w:top w:val="nil"/>
              <w:left w:val="nil"/>
              <w:bottom w:val="single" w:sz="12" w:space="0" w:color="auto"/>
              <w:right w:val="nil"/>
            </w:tcBorders>
            <w:shd w:val="clear" w:color="auto" w:fill="auto"/>
            <w:vAlign w:val="center"/>
            <w:hideMark/>
          </w:tcPr>
          <w:p w14:paraId="0716A7F2"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c>
          <w:tcPr>
            <w:tcW w:w="1200" w:type="dxa"/>
            <w:tcBorders>
              <w:top w:val="nil"/>
              <w:left w:val="nil"/>
              <w:bottom w:val="single" w:sz="12" w:space="0" w:color="auto"/>
              <w:right w:val="nil"/>
            </w:tcBorders>
            <w:shd w:val="clear" w:color="auto" w:fill="auto"/>
            <w:vAlign w:val="center"/>
            <w:hideMark/>
          </w:tcPr>
          <w:p w14:paraId="0B359847" w14:textId="77777777" w:rsidR="00F94AF6" w:rsidRPr="00A577DF" w:rsidRDefault="00F94AF6" w:rsidP="002F7A5E">
            <w:pPr>
              <w:spacing w:before="0" w:line="240" w:lineRule="auto"/>
              <w:rPr>
                <w:rFonts w:ascii="Renault Group" w:eastAsia="Times New Roman" w:hAnsi="Renault Group" w:cs="Calibri"/>
                <w:color w:val="000000"/>
                <w:szCs w:val="18"/>
                <w:lang w:val="de-AT" w:eastAsia="fr-FR"/>
              </w:rPr>
            </w:pPr>
            <w:r w:rsidRPr="00A577DF">
              <w:rPr>
                <w:rFonts w:ascii="Renault Group" w:eastAsia="Times New Roman" w:hAnsi="Renault Group" w:cs="Calibri"/>
                <w:color w:val="000000"/>
                <w:szCs w:val="18"/>
                <w:lang w:val="de-AT" w:eastAsia="fr-FR"/>
              </w:rPr>
              <w:t> </w:t>
            </w:r>
          </w:p>
        </w:tc>
      </w:tr>
      <w:tr w:rsidR="0020767A" w:rsidRPr="00A577DF" w14:paraId="7E03CF28" w14:textId="77777777" w:rsidTr="00EF05D1">
        <w:trPr>
          <w:trHeight w:val="300"/>
        </w:trPr>
        <w:tc>
          <w:tcPr>
            <w:tcW w:w="3320" w:type="dxa"/>
            <w:tcBorders>
              <w:top w:val="nil"/>
              <w:left w:val="nil"/>
              <w:bottom w:val="nil"/>
              <w:right w:val="nil"/>
            </w:tcBorders>
            <w:shd w:val="clear" w:color="auto" w:fill="auto"/>
            <w:noWrap/>
            <w:vAlign w:val="center"/>
            <w:hideMark/>
          </w:tcPr>
          <w:p w14:paraId="314F0A27"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PC</w:t>
            </w:r>
          </w:p>
        </w:tc>
        <w:tc>
          <w:tcPr>
            <w:tcW w:w="1360" w:type="dxa"/>
            <w:tcBorders>
              <w:top w:val="nil"/>
              <w:left w:val="nil"/>
              <w:bottom w:val="nil"/>
              <w:right w:val="nil"/>
            </w:tcBorders>
            <w:shd w:val="clear" w:color="auto" w:fill="auto"/>
            <w:noWrap/>
            <w:vAlign w:val="center"/>
            <w:hideMark/>
          </w:tcPr>
          <w:p w14:paraId="40453C2E"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549,031 </w:t>
            </w:r>
          </w:p>
        </w:tc>
        <w:tc>
          <w:tcPr>
            <w:tcW w:w="1360" w:type="dxa"/>
            <w:tcBorders>
              <w:top w:val="nil"/>
              <w:left w:val="nil"/>
              <w:bottom w:val="nil"/>
              <w:right w:val="nil"/>
            </w:tcBorders>
            <w:shd w:val="clear" w:color="auto" w:fill="auto"/>
            <w:noWrap/>
            <w:vAlign w:val="center"/>
            <w:hideMark/>
          </w:tcPr>
          <w:p w14:paraId="3B228B86"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477,938 </w:t>
            </w:r>
          </w:p>
        </w:tc>
        <w:tc>
          <w:tcPr>
            <w:tcW w:w="1200" w:type="dxa"/>
            <w:tcBorders>
              <w:top w:val="nil"/>
              <w:left w:val="nil"/>
              <w:bottom w:val="nil"/>
              <w:right w:val="nil"/>
            </w:tcBorders>
            <w:shd w:val="clear" w:color="auto" w:fill="auto"/>
            <w:vAlign w:val="center"/>
            <w:hideMark/>
          </w:tcPr>
          <w:p w14:paraId="374F7337"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-12.9</w:t>
            </w:r>
          </w:p>
        </w:tc>
      </w:tr>
      <w:tr w:rsidR="0020767A" w:rsidRPr="00A577DF" w14:paraId="79686FEF" w14:textId="77777777" w:rsidTr="00EF05D1">
        <w:trPr>
          <w:trHeight w:val="290"/>
        </w:trPr>
        <w:tc>
          <w:tcPr>
            <w:tcW w:w="3320" w:type="dxa"/>
            <w:tcBorders>
              <w:top w:val="nil"/>
              <w:left w:val="nil"/>
              <w:bottom w:val="nil"/>
              <w:right w:val="nil"/>
            </w:tcBorders>
            <w:shd w:val="clear" w:color="auto" w:fill="auto"/>
            <w:noWrap/>
            <w:vAlign w:val="center"/>
            <w:hideMark/>
          </w:tcPr>
          <w:p w14:paraId="732F2AFD"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rFonts w:ascii="Renault Group" w:eastAsia="Times New Roman" w:hAnsi="Renault Group" w:cs="Calibri"/>
                <w:color w:val="000000"/>
                <w:sz w:val="16"/>
                <w:szCs w:val="16"/>
                <w:lang w:val="de-AT" w:eastAsia="fr-FR"/>
              </w:rPr>
              <w:t>LCV</w:t>
            </w:r>
          </w:p>
        </w:tc>
        <w:tc>
          <w:tcPr>
            <w:tcW w:w="1360" w:type="dxa"/>
            <w:tcBorders>
              <w:top w:val="nil"/>
              <w:left w:val="nil"/>
              <w:bottom w:val="nil"/>
              <w:right w:val="nil"/>
            </w:tcBorders>
            <w:shd w:val="clear" w:color="auto" w:fill="auto"/>
            <w:noWrap/>
            <w:vAlign w:val="center"/>
            <w:hideMark/>
          </w:tcPr>
          <w:p w14:paraId="739116AE"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116,215 </w:t>
            </w:r>
          </w:p>
        </w:tc>
        <w:tc>
          <w:tcPr>
            <w:tcW w:w="1360" w:type="dxa"/>
            <w:tcBorders>
              <w:top w:val="nil"/>
              <w:left w:val="nil"/>
              <w:bottom w:val="nil"/>
              <w:right w:val="nil"/>
            </w:tcBorders>
            <w:shd w:val="clear" w:color="auto" w:fill="auto"/>
            <w:noWrap/>
            <w:vAlign w:val="center"/>
            <w:hideMark/>
          </w:tcPr>
          <w:p w14:paraId="20200B45"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73,795 </w:t>
            </w:r>
          </w:p>
        </w:tc>
        <w:tc>
          <w:tcPr>
            <w:tcW w:w="1200" w:type="dxa"/>
            <w:tcBorders>
              <w:top w:val="nil"/>
              <w:left w:val="nil"/>
              <w:bottom w:val="nil"/>
              <w:right w:val="nil"/>
            </w:tcBorders>
            <w:shd w:val="clear" w:color="auto" w:fill="auto"/>
            <w:vAlign w:val="center"/>
            <w:hideMark/>
          </w:tcPr>
          <w:p w14:paraId="085D2BDD"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-36.5</w:t>
            </w:r>
          </w:p>
        </w:tc>
      </w:tr>
      <w:tr w:rsidR="0020767A" w:rsidRPr="00A577DF" w14:paraId="0452BD82" w14:textId="77777777" w:rsidTr="00EF05D1">
        <w:trPr>
          <w:trHeight w:val="290"/>
        </w:trPr>
        <w:tc>
          <w:tcPr>
            <w:tcW w:w="3320" w:type="dxa"/>
            <w:tcBorders>
              <w:top w:val="nil"/>
              <w:left w:val="nil"/>
              <w:bottom w:val="nil"/>
              <w:right w:val="nil"/>
            </w:tcBorders>
            <w:shd w:val="clear" w:color="auto" w:fill="auto"/>
            <w:noWrap/>
            <w:vAlign w:val="center"/>
            <w:hideMark/>
          </w:tcPr>
          <w:p w14:paraId="369B1BEF" w14:textId="77777777" w:rsidR="00D26979" w:rsidRPr="00A577DF" w:rsidRDefault="008B6935">
            <w:pPr>
              <w:spacing w:before="0" w:line="240" w:lineRule="auto"/>
              <w:jc w:val="center"/>
              <w:rPr>
                <w:rFonts w:ascii="Renault Group" w:eastAsia="Times New Roman" w:hAnsi="Renault Group" w:cs="Calibri"/>
                <w:b/>
                <w:bCs/>
                <w:color w:val="000000"/>
                <w:sz w:val="16"/>
                <w:szCs w:val="16"/>
                <w:lang w:val="de-AT" w:eastAsia="fr-FR"/>
              </w:rPr>
            </w:pPr>
            <w:r w:rsidRPr="00A577DF">
              <w:rPr>
                <w:b/>
                <w:bCs/>
                <w:color w:val="000000"/>
                <w:sz w:val="16"/>
                <w:szCs w:val="16"/>
                <w:lang w:val="de-AT" w:eastAsia="fr-FR"/>
              </w:rPr>
              <w:t>PC + LCV</w:t>
            </w:r>
          </w:p>
        </w:tc>
        <w:tc>
          <w:tcPr>
            <w:tcW w:w="1360" w:type="dxa"/>
            <w:tcBorders>
              <w:top w:val="nil"/>
              <w:left w:val="nil"/>
              <w:bottom w:val="nil"/>
              <w:right w:val="nil"/>
            </w:tcBorders>
            <w:shd w:val="clear" w:color="auto" w:fill="auto"/>
            <w:noWrap/>
            <w:vAlign w:val="center"/>
            <w:hideMark/>
          </w:tcPr>
          <w:p w14:paraId="778B8041"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665,246 </w:t>
            </w:r>
          </w:p>
        </w:tc>
        <w:tc>
          <w:tcPr>
            <w:tcW w:w="1360" w:type="dxa"/>
            <w:tcBorders>
              <w:top w:val="nil"/>
              <w:left w:val="nil"/>
              <w:bottom w:val="nil"/>
              <w:right w:val="nil"/>
            </w:tcBorders>
            <w:shd w:val="clear" w:color="auto" w:fill="auto"/>
            <w:noWrap/>
            <w:vAlign w:val="center"/>
            <w:hideMark/>
          </w:tcPr>
          <w:p w14:paraId="3DC4350D"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 xml:space="preserve">           551,733 </w:t>
            </w:r>
          </w:p>
        </w:tc>
        <w:tc>
          <w:tcPr>
            <w:tcW w:w="1200" w:type="dxa"/>
            <w:tcBorders>
              <w:top w:val="nil"/>
              <w:left w:val="nil"/>
              <w:bottom w:val="nil"/>
              <w:right w:val="nil"/>
            </w:tcBorders>
            <w:shd w:val="clear" w:color="auto" w:fill="auto"/>
            <w:vAlign w:val="center"/>
            <w:hideMark/>
          </w:tcPr>
          <w:p w14:paraId="2B33FBE1" w14:textId="77777777" w:rsidR="00D26979" w:rsidRPr="00A577DF" w:rsidRDefault="008B6935">
            <w:pPr>
              <w:spacing w:before="0" w:line="240" w:lineRule="auto"/>
              <w:jc w:val="right"/>
              <w:rPr>
                <w:rFonts w:ascii="Renault Group" w:eastAsia="Times New Roman" w:hAnsi="Renault Group" w:cs="Calibri"/>
                <w:b/>
                <w:bCs/>
                <w:color w:val="000000"/>
                <w:szCs w:val="18"/>
                <w:lang w:val="de-AT" w:eastAsia="fr-FR"/>
              </w:rPr>
            </w:pPr>
            <w:r w:rsidRPr="00A577DF">
              <w:rPr>
                <w:b/>
                <w:bCs/>
                <w:color w:val="000000"/>
                <w:szCs w:val="18"/>
                <w:lang w:val="de-AT" w:eastAsia="fr-FR"/>
              </w:rPr>
              <w:t>-17.1</w:t>
            </w:r>
          </w:p>
        </w:tc>
      </w:tr>
      <w:tr w:rsidR="00F94AF6" w:rsidRPr="00A577DF" w14:paraId="039C36DC" w14:textId="77777777" w:rsidTr="00EF05D1">
        <w:trPr>
          <w:trHeight w:val="290"/>
        </w:trPr>
        <w:tc>
          <w:tcPr>
            <w:tcW w:w="3320" w:type="dxa"/>
            <w:tcBorders>
              <w:top w:val="nil"/>
              <w:left w:val="nil"/>
              <w:bottom w:val="nil"/>
              <w:right w:val="nil"/>
            </w:tcBorders>
            <w:shd w:val="clear" w:color="auto" w:fill="auto"/>
            <w:noWrap/>
            <w:vAlign w:val="center"/>
            <w:hideMark/>
          </w:tcPr>
          <w:p w14:paraId="753CE4BD" w14:textId="77777777" w:rsidR="00D26979" w:rsidRPr="00A577DF" w:rsidRDefault="008B6935">
            <w:pPr>
              <w:spacing w:before="0" w:line="240" w:lineRule="auto"/>
              <w:jc w:val="center"/>
              <w:rPr>
                <w:rFonts w:ascii="Renault Group" w:eastAsia="Times New Roman" w:hAnsi="Renault Group" w:cs="Calibri"/>
                <w:color w:val="000000"/>
                <w:sz w:val="16"/>
                <w:szCs w:val="16"/>
                <w:lang w:val="de-AT" w:eastAsia="fr-FR"/>
              </w:rPr>
            </w:pPr>
            <w:r w:rsidRPr="00A577DF">
              <w:rPr>
                <w:color w:val="000000"/>
                <w:sz w:val="16"/>
                <w:szCs w:val="16"/>
                <w:lang w:val="de-AT" w:eastAsia="fr-FR"/>
              </w:rPr>
              <w:t>Davon Renault Russland + LADA</w:t>
            </w:r>
          </w:p>
        </w:tc>
        <w:tc>
          <w:tcPr>
            <w:tcW w:w="1360" w:type="dxa"/>
            <w:tcBorders>
              <w:top w:val="nil"/>
              <w:left w:val="nil"/>
              <w:bottom w:val="nil"/>
              <w:right w:val="nil"/>
            </w:tcBorders>
            <w:shd w:val="clear" w:color="auto" w:fill="auto"/>
            <w:noWrap/>
            <w:vAlign w:val="center"/>
            <w:hideMark/>
          </w:tcPr>
          <w:p w14:paraId="3C200F8F"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121</w:t>
            </w:r>
            <w:r w:rsidR="00676A17" w:rsidRPr="00A577DF">
              <w:rPr>
                <w:color w:val="000000"/>
                <w:szCs w:val="18"/>
                <w:lang w:val="de-AT" w:eastAsia="fr-FR"/>
              </w:rPr>
              <w:t>,</w:t>
            </w:r>
            <w:r w:rsidRPr="00A577DF">
              <w:rPr>
                <w:color w:val="000000"/>
                <w:szCs w:val="18"/>
                <w:lang w:val="de-AT" w:eastAsia="fr-FR"/>
              </w:rPr>
              <w:t xml:space="preserve">013 </w:t>
            </w:r>
          </w:p>
        </w:tc>
        <w:tc>
          <w:tcPr>
            <w:tcW w:w="1360" w:type="dxa"/>
            <w:tcBorders>
              <w:top w:val="nil"/>
              <w:left w:val="nil"/>
              <w:bottom w:val="nil"/>
              <w:right w:val="nil"/>
            </w:tcBorders>
            <w:shd w:val="clear" w:color="auto" w:fill="auto"/>
            <w:noWrap/>
            <w:vAlign w:val="center"/>
            <w:hideMark/>
          </w:tcPr>
          <w:p w14:paraId="3501C62E"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 xml:space="preserve">             83</w:t>
            </w:r>
            <w:r w:rsidR="00676A17" w:rsidRPr="00A577DF">
              <w:rPr>
                <w:color w:val="000000"/>
                <w:szCs w:val="18"/>
                <w:lang w:val="de-AT" w:eastAsia="fr-FR"/>
              </w:rPr>
              <w:t>,</w:t>
            </w:r>
            <w:r w:rsidRPr="00A577DF">
              <w:rPr>
                <w:color w:val="000000"/>
                <w:szCs w:val="18"/>
                <w:lang w:val="de-AT" w:eastAsia="fr-FR"/>
              </w:rPr>
              <w:t xml:space="preserve">000 </w:t>
            </w:r>
          </w:p>
        </w:tc>
        <w:tc>
          <w:tcPr>
            <w:tcW w:w="1200" w:type="dxa"/>
            <w:tcBorders>
              <w:top w:val="nil"/>
              <w:left w:val="nil"/>
              <w:bottom w:val="nil"/>
              <w:right w:val="nil"/>
            </w:tcBorders>
            <w:shd w:val="clear" w:color="auto" w:fill="auto"/>
            <w:vAlign w:val="center"/>
            <w:hideMark/>
          </w:tcPr>
          <w:p w14:paraId="201C9566" w14:textId="77777777" w:rsidR="00D26979" w:rsidRPr="00A577DF" w:rsidRDefault="008B6935">
            <w:pPr>
              <w:spacing w:before="0" w:line="240" w:lineRule="auto"/>
              <w:jc w:val="right"/>
              <w:rPr>
                <w:rFonts w:ascii="Renault Group" w:eastAsia="Times New Roman" w:hAnsi="Renault Group" w:cs="Calibri"/>
                <w:color w:val="000000"/>
                <w:szCs w:val="18"/>
                <w:lang w:val="de-AT" w:eastAsia="fr-FR"/>
              </w:rPr>
            </w:pPr>
            <w:r w:rsidRPr="00A577DF">
              <w:rPr>
                <w:color w:val="000000"/>
                <w:szCs w:val="18"/>
                <w:lang w:val="de-AT" w:eastAsia="fr-FR"/>
              </w:rPr>
              <w:t>-31</w:t>
            </w:r>
            <w:r w:rsidR="00676A17" w:rsidRPr="00A577DF">
              <w:rPr>
                <w:color w:val="000000"/>
                <w:szCs w:val="18"/>
                <w:lang w:val="de-AT" w:eastAsia="fr-FR"/>
              </w:rPr>
              <w:t>.</w:t>
            </w:r>
            <w:r w:rsidRPr="00A577DF">
              <w:rPr>
                <w:color w:val="000000"/>
                <w:szCs w:val="18"/>
                <w:lang w:val="de-AT" w:eastAsia="fr-FR"/>
              </w:rPr>
              <w:t>4</w:t>
            </w:r>
          </w:p>
        </w:tc>
      </w:tr>
    </w:tbl>
    <w:p w14:paraId="1AF1505E" w14:textId="77777777" w:rsidR="0064525B" w:rsidRPr="00A577DF" w:rsidRDefault="0064525B" w:rsidP="003410F1">
      <w:pPr>
        <w:spacing w:before="8" w:line="240" w:lineRule="exact"/>
        <w:ind w:right="85"/>
        <w:rPr>
          <w:rFonts w:ascii="Arial" w:hAnsi="Arial" w:cs="Arial"/>
          <w:lang w:val="de-AT"/>
        </w:rPr>
      </w:pPr>
    </w:p>
    <w:p w14:paraId="36A4F3B3" w14:textId="77777777" w:rsidR="0064525B" w:rsidRPr="00A577DF" w:rsidRDefault="0064525B">
      <w:pPr>
        <w:spacing w:before="0" w:line="240" w:lineRule="auto"/>
        <w:rPr>
          <w:rFonts w:ascii="Arial" w:hAnsi="Arial" w:cs="Arial"/>
          <w:lang w:val="de-AT"/>
        </w:rPr>
      </w:pPr>
      <w:r w:rsidRPr="00A577DF">
        <w:rPr>
          <w:rFonts w:ascii="Arial" w:hAnsi="Arial" w:cs="Arial"/>
          <w:lang w:val="de-AT"/>
        </w:rPr>
        <w:br w:type="page"/>
      </w:r>
    </w:p>
    <w:p w14:paraId="7CEDE79D" w14:textId="77777777" w:rsidR="00E93D9E" w:rsidRPr="004B1EE4" w:rsidRDefault="00E93D9E" w:rsidP="00E93D9E">
      <w:pPr>
        <w:spacing w:before="0" w:line="240" w:lineRule="auto"/>
        <w:jc w:val="both"/>
        <w:rPr>
          <w:b/>
          <w:bCs/>
          <w:szCs w:val="18"/>
          <w:lang w:val="de-DE"/>
        </w:rPr>
      </w:pPr>
      <w:r w:rsidRPr="004B1EE4">
        <w:rPr>
          <w:b/>
          <w:bCs/>
          <w:szCs w:val="18"/>
          <w:lang w:val="de-DE"/>
        </w:rPr>
        <w:lastRenderedPageBreak/>
        <w:t xml:space="preserve">Über Renault Group </w:t>
      </w:r>
    </w:p>
    <w:p w14:paraId="4DDB6D97" w14:textId="77777777" w:rsidR="00E93D9E" w:rsidRDefault="00E93D9E" w:rsidP="00E93D9E">
      <w:pPr>
        <w:spacing w:before="0" w:line="240" w:lineRule="auto"/>
        <w:jc w:val="both"/>
        <w:rPr>
          <w:lang w:val="de-DE"/>
        </w:rPr>
      </w:pPr>
      <w:r w:rsidRPr="00EE4C98">
        <w:rPr>
          <w:lang w:val="de-DE"/>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w:t>
      </w:r>
      <w:proofErr w:type="spellStart"/>
      <w:r w:rsidRPr="00EE4C98">
        <w:rPr>
          <w:lang w:val="de-DE"/>
        </w:rPr>
        <w:t>Mobilize</w:t>
      </w:r>
      <w:proofErr w:type="spellEnd"/>
      <w:r w:rsidRPr="00EE4C98">
        <w:rPr>
          <w:lang w:val="de-DE"/>
        </w:rPr>
        <w:t xml:space="preserve"> –, auf den weiteren Ausbau ihrer Marktführerschaft bei Elektrofahrzeugen und ihre einzigartige Allianz mit Nissan und Mitsubishi. Das Unternehmen ist in mehr als 130 Ländern tätig, beschäftigt derzeit mehr als 170.000 Mitarbeitende und hat im Jahr 2021 2,7 Millionen Fahrzeuge verkauft.</w:t>
      </w:r>
    </w:p>
    <w:p w14:paraId="760827EC" w14:textId="77777777" w:rsidR="00E93D9E" w:rsidRPr="00EE4C98" w:rsidRDefault="00E93D9E" w:rsidP="00E93D9E">
      <w:pPr>
        <w:spacing w:before="0" w:line="240" w:lineRule="auto"/>
        <w:jc w:val="both"/>
        <w:rPr>
          <w:lang w:val="de-DE"/>
        </w:rPr>
      </w:pPr>
    </w:p>
    <w:p w14:paraId="31F0826B" w14:textId="77777777" w:rsidR="00E93D9E" w:rsidRDefault="00E93D9E" w:rsidP="00E93D9E">
      <w:pPr>
        <w:spacing w:before="0" w:line="240" w:lineRule="auto"/>
        <w:jc w:val="both"/>
        <w:rPr>
          <w:lang w:val="de-DE"/>
        </w:rPr>
      </w:pPr>
      <w:r w:rsidRPr="00EE4C98">
        <w:rPr>
          <w:lang w:val="de-DE"/>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1" w:history="1">
        <w:r w:rsidRPr="0013415E">
          <w:rPr>
            <w:rStyle w:val="Hyperlink"/>
            <w:lang w:val="de-DE"/>
          </w:rPr>
          <w:t>https://www.renaultgroup.com</w:t>
        </w:r>
      </w:hyperlink>
    </w:p>
    <w:p w14:paraId="72C81C1C" w14:textId="77777777" w:rsidR="00E93D9E" w:rsidRPr="00EE4C98" w:rsidRDefault="00E93D9E" w:rsidP="00E93D9E">
      <w:pPr>
        <w:spacing w:before="0" w:line="240" w:lineRule="auto"/>
        <w:jc w:val="both"/>
        <w:rPr>
          <w:lang w:val="de-DE"/>
        </w:rPr>
      </w:pPr>
    </w:p>
    <w:p w14:paraId="01EB44D4" w14:textId="77777777" w:rsidR="00E93D9E" w:rsidRDefault="00E93D9E" w:rsidP="00E93D9E">
      <w:pPr>
        <w:spacing w:before="0" w:line="240" w:lineRule="auto"/>
        <w:jc w:val="both"/>
        <w:rPr>
          <w:lang w:val="de-DE"/>
        </w:rPr>
      </w:pPr>
      <w:r w:rsidRPr="00EE4C98">
        <w:rPr>
          <w:lang w:val="de-DE"/>
        </w:rPr>
        <w:t>In Österreich ist Renault Group seit 1947 vertreten. Heute vermarktet und vertreibt die Renault Österreich GmbH die Marken Renault, Dacia und Alpine. Mit mehr als 24.626 neu zugelassenen Personenwagen und leichten Nutzfahrzeugen erreicht sie 2021 einen Marktanteil von 8,2 Prozent. Mit rund 3.285 Neuzulassungen der rein elektrisch angetriebenen Modelle Twingo E-Tech Electric, ZOE E-Tech Electric, 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1720FE9B" w14:textId="77777777" w:rsidR="00236E77" w:rsidRPr="00E93D9E" w:rsidRDefault="00236E77" w:rsidP="007A5AE2">
      <w:pPr>
        <w:spacing w:line="276" w:lineRule="auto"/>
        <w:rPr>
          <w:b/>
          <w:bCs/>
          <w:sz w:val="22"/>
          <w:szCs w:val="22"/>
          <w:lang w:val="de-DE"/>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2694"/>
        <w:gridCol w:w="141"/>
        <w:gridCol w:w="3828"/>
        <w:gridCol w:w="2516"/>
        <w:gridCol w:w="3998"/>
      </w:tblGrid>
      <w:tr w:rsidR="00E96731" w:rsidRPr="00A577DF" w14:paraId="172CE7AC" w14:textId="77777777" w:rsidTr="00E62E92">
        <w:trPr>
          <w:gridAfter w:val="2"/>
          <w:wAfter w:w="6514" w:type="dxa"/>
        </w:trPr>
        <w:tc>
          <w:tcPr>
            <w:tcW w:w="2694" w:type="dxa"/>
          </w:tcPr>
          <w:p w14:paraId="67D44B76" w14:textId="3B357164" w:rsidR="00D26979" w:rsidRPr="00A577DF" w:rsidRDefault="000B349B">
            <w:pPr>
              <w:pStyle w:val="Fuzeile"/>
              <w:rPr>
                <w:b/>
                <w:sz w:val="20"/>
                <w:lang w:val="de-AT"/>
              </w:rPr>
            </w:pPr>
            <w:r>
              <w:rPr>
                <w:b/>
                <w:sz w:val="20"/>
                <w:lang w:val="de-AT"/>
              </w:rPr>
              <w:t>RENAULT GROUP</w:t>
            </w:r>
            <w:r w:rsidR="008B6935" w:rsidRPr="00A577DF">
              <w:rPr>
                <w:b/>
                <w:sz w:val="20"/>
                <w:lang w:val="de-AT"/>
              </w:rPr>
              <w:t xml:space="preserve"> </w:t>
            </w:r>
          </w:p>
          <w:p w14:paraId="565FCED3" w14:textId="77777777" w:rsidR="00D26979" w:rsidRPr="00A577DF" w:rsidRDefault="008B6935">
            <w:pPr>
              <w:pStyle w:val="Fuzeile"/>
              <w:rPr>
                <w:b/>
                <w:sz w:val="20"/>
                <w:lang w:val="de-AT"/>
              </w:rPr>
            </w:pPr>
            <w:r w:rsidRPr="00A577DF">
              <w:rPr>
                <w:b/>
                <w:sz w:val="20"/>
                <w:lang w:val="de-AT"/>
              </w:rPr>
              <w:t xml:space="preserve">INVESTOR </w:t>
            </w:r>
            <w:r w:rsidR="00E96731" w:rsidRPr="00A577DF">
              <w:rPr>
                <w:b/>
                <w:sz w:val="20"/>
                <w:lang w:val="de-AT"/>
              </w:rPr>
              <w:t>RELATIONS</w:t>
            </w:r>
          </w:p>
        </w:tc>
        <w:tc>
          <w:tcPr>
            <w:tcW w:w="141" w:type="dxa"/>
          </w:tcPr>
          <w:p w14:paraId="348E5024" w14:textId="77777777" w:rsidR="00E96731" w:rsidRPr="00A577DF" w:rsidRDefault="00E96731" w:rsidP="006E7887">
            <w:pPr>
              <w:pStyle w:val="Fuzeile"/>
              <w:rPr>
                <w:sz w:val="20"/>
                <w:lang w:val="de-AT"/>
              </w:rPr>
            </w:pPr>
          </w:p>
        </w:tc>
        <w:tc>
          <w:tcPr>
            <w:tcW w:w="3828" w:type="dxa"/>
          </w:tcPr>
          <w:p w14:paraId="52A54699" w14:textId="77777777" w:rsidR="00D26979" w:rsidRPr="00A577DF" w:rsidRDefault="008B6935">
            <w:pPr>
              <w:pStyle w:val="Fuzeile"/>
              <w:rPr>
                <w:sz w:val="20"/>
                <w:lang w:val="de-AT"/>
              </w:rPr>
            </w:pPr>
            <w:r w:rsidRPr="00A577DF">
              <w:rPr>
                <w:sz w:val="20"/>
                <w:lang w:val="de-AT"/>
              </w:rPr>
              <w:t xml:space="preserve">Philippine de </w:t>
            </w:r>
            <w:r w:rsidR="000016C9" w:rsidRPr="00A577DF">
              <w:rPr>
                <w:sz w:val="20"/>
                <w:lang w:val="de-AT"/>
              </w:rPr>
              <w:t xml:space="preserve">Schonen </w:t>
            </w:r>
          </w:p>
          <w:p w14:paraId="29924D66" w14:textId="77777777" w:rsidR="00D26979" w:rsidRPr="00A577DF" w:rsidRDefault="00E62E92">
            <w:pPr>
              <w:pStyle w:val="Fuzeile"/>
              <w:rPr>
                <w:bCs/>
                <w:sz w:val="20"/>
                <w:lang w:val="de-AT"/>
              </w:rPr>
            </w:pPr>
            <w:r w:rsidRPr="00A577DF">
              <w:rPr>
                <w:bCs/>
                <w:sz w:val="20"/>
                <w:lang w:val="de-AT"/>
              </w:rPr>
              <w:t>+33 6 13 45 68 39</w:t>
            </w:r>
          </w:p>
          <w:p w14:paraId="6CB01885" w14:textId="77777777" w:rsidR="00D26979" w:rsidRPr="00A577DF" w:rsidRDefault="00DC26FA">
            <w:pPr>
              <w:pStyle w:val="Fuzeile"/>
              <w:rPr>
                <w:sz w:val="20"/>
                <w:lang w:val="de-AT"/>
              </w:rPr>
            </w:pPr>
            <w:hyperlink r:id="rId12" w:history="1">
              <w:r w:rsidR="00E62E92" w:rsidRPr="00A577DF">
                <w:rPr>
                  <w:rStyle w:val="Hyperlink"/>
                  <w:sz w:val="20"/>
                  <w:lang w:val="de-AT"/>
                </w:rPr>
                <w:t>philippine.de-schonen@renault.com</w:t>
              </w:r>
            </w:hyperlink>
          </w:p>
          <w:p w14:paraId="3AA997AF" w14:textId="77777777" w:rsidR="003920FB" w:rsidRPr="00A577DF" w:rsidRDefault="003920FB" w:rsidP="00F426B7">
            <w:pPr>
              <w:pStyle w:val="Fuzeile"/>
              <w:rPr>
                <w:sz w:val="20"/>
                <w:lang w:val="de-AT"/>
              </w:rPr>
            </w:pPr>
          </w:p>
        </w:tc>
      </w:tr>
      <w:tr w:rsidR="002815EF" w:rsidRPr="00A577DF" w14:paraId="521A2056" w14:textId="77777777" w:rsidTr="00E62E92">
        <w:tc>
          <w:tcPr>
            <w:tcW w:w="2694" w:type="dxa"/>
          </w:tcPr>
          <w:p w14:paraId="30C075D2" w14:textId="77777777" w:rsidR="00236E77" w:rsidRPr="00A577DF" w:rsidRDefault="00236E77" w:rsidP="002815EF">
            <w:pPr>
              <w:pStyle w:val="Fuzeile"/>
              <w:rPr>
                <w:b/>
                <w:sz w:val="20"/>
                <w:lang w:val="de-AT"/>
              </w:rPr>
            </w:pPr>
          </w:p>
          <w:p w14:paraId="6274C5F0" w14:textId="77777777" w:rsidR="00236E77" w:rsidRPr="00A577DF" w:rsidRDefault="00236E77" w:rsidP="002815EF">
            <w:pPr>
              <w:pStyle w:val="Fuzeile"/>
              <w:rPr>
                <w:b/>
                <w:sz w:val="20"/>
                <w:lang w:val="de-AT"/>
              </w:rPr>
            </w:pPr>
          </w:p>
          <w:p w14:paraId="34DA816C" w14:textId="529C653A" w:rsidR="00D26979" w:rsidRPr="00A577DF" w:rsidRDefault="000B349B">
            <w:pPr>
              <w:pStyle w:val="Fuzeile"/>
              <w:rPr>
                <w:b/>
                <w:sz w:val="20"/>
                <w:lang w:val="de-AT"/>
              </w:rPr>
            </w:pPr>
            <w:r>
              <w:rPr>
                <w:b/>
                <w:sz w:val="20"/>
                <w:lang w:val="de-AT"/>
              </w:rPr>
              <w:t>RENAULT GROUP</w:t>
            </w:r>
            <w:r w:rsidR="008B6935" w:rsidRPr="00A577DF">
              <w:rPr>
                <w:b/>
                <w:sz w:val="20"/>
                <w:lang w:val="de-AT"/>
              </w:rPr>
              <w:t xml:space="preserve"> </w:t>
            </w:r>
          </w:p>
          <w:p w14:paraId="3DA3E207" w14:textId="77777777" w:rsidR="00D26979" w:rsidRPr="00A577DF" w:rsidRDefault="008B6935">
            <w:pPr>
              <w:pStyle w:val="Fuzeile"/>
              <w:rPr>
                <w:b/>
                <w:sz w:val="20"/>
                <w:lang w:val="de-AT"/>
              </w:rPr>
            </w:pPr>
            <w:r w:rsidRPr="00A577DF">
              <w:rPr>
                <w:b/>
                <w:sz w:val="20"/>
                <w:lang w:val="de-AT"/>
              </w:rPr>
              <w:t>PRESSEARBEIT</w:t>
            </w:r>
          </w:p>
        </w:tc>
        <w:tc>
          <w:tcPr>
            <w:tcW w:w="141" w:type="dxa"/>
          </w:tcPr>
          <w:p w14:paraId="5322FF8F" w14:textId="77777777" w:rsidR="002815EF" w:rsidRPr="00A577DF" w:rsidRDefault="002815EF" w:rsidP="002815EF">
            <w:pPr>
              <w:pStyle w:val="Fuzeile"/>
              <w:rPr>
                <w:sz w:val="20"/>
                <w:lang w:val="de-AT"/>
              </w:rPr>
            </w:pPr>
          </w:p>
        </w:tc>
        <w:tc>
          <w:tcPr>
            <w:tcW w:w="3828" w:type="dxa"/>
          </w:tcPr>
          <w:p w14:paraId="00B2E2B3" w14:textId="77777777" w:rsidR="00236E77" w:rsidRPr="002429EE" w:rsidRDefault="00236E77" w:rsidP="002815EF">
            <w:pPr>
              <w:pStyle w:val="Fuzeile"/>
              <w:rPr>
                <w:sz w:val="20"/>
                <w:lang w:val="en-US"/>
              </w:rPr>
            </w:pPr>
          </w:p>
          <w:p w14:paraId="69AFA705" w14:textId="77777777" w:rsidR="00236E77" w:rsidRPr="002429EE" w:rsidRDefault="00236E77" w:rsidP="002815EF">
            <w:pPr>
              <w:pStyle w:val="Fuzeile"/>
              <w:rPr>
                <w:sz w:val="20"/>
                <w:lang w:val="en-US"/>
              </w:rPr>
            </w:pPr>
          </w:p>
          <w:p w14:paraId="12A75B4A" w14:textId="77777777" w:rsidR="00D26979" w:rsidRPr="002429EE" w:rsidRDefault="008B6935">
            <w:pPr>
              <w:pStyle w:val="Fuzeile"/>
              <w:rPr>
                <w:sz w:val="20"/>
                <w:lang w:val="en-US"/>
              </w:rPr>
            </w:pPr>
            <w:r w:rsidRPr="002429EE">
              <w:rPr>
                <w:sz w:val="20"/>
                <w:lang w:val="en-US"/>
              </w:rPr>
              <w:t xml:space="preserve">Frédéric </w:t>
            </w:r>
            <w:proofErr w:type="spellStart"/>
            <w:r w:rsidRPr="002429EE">
              <w:rPr>
                <w:sz w:val="20"/>
                <w:lang w:val="en-US"/>
              </w:rPr>
              <w:t>Texier</w:t>
            </w:r>
            <w:proofErr w:type="spellEnd"/>
          </w:p>
          <w:p w14:paraId="3965D71D" w14:textId="77777777" w:rsidR="00D26979" w:rsidRPr="002429EE" w:rsidRDefault="008B6935">
            <w:pPr>
              <w:pStyle w:val="Fuzeile"/>
              <w:rPr>
                <w:sz w:val="20"/>
                <w:lang w:val="en-US"/>
              </w:rPr>
            </w:pPr>
            <w:r w:rsidRPr="002429EE">
              <w:rPr>
                <w:sz w:val="20"/>
                <w:lang w:val="en-US"/>
              </w:rPr>
              <w:t>+33 6 10 78 49 20</w:t>
            </w:r>
          </w:p>
          <w:p w14:paraId="12FA33FA" w14:textId="77777777" w:rsidR="00D26979" w:rsidRPr="002429EE" w:rsidRDefault="00DC26FA">
            <w:pPr>
              <w:pStyle w:val="Fuzeile"/>
              <w:rPr>
                <w:sz w:val="20"/>
                <w:lang w:val="en-US"/>
              </w:rPr>
            </w:pPr>
            <w:hyperlink r:id="rId13" w:history="1">
              <w:r w:rsidR="003A25B5" w:rsidRPr="002429EE">
                <w:rPr>
                  <w:rStyle w:val="Hyperlink"/>
                  <w:sz w:val="20"/>
                  <w:lang w:val="en-US"/>
                </w:rPr>
                <w:t>frederic.texier@renault.com</w:t>
              </w:r>
            </w:hyperlink>
          </w:p>
          <w:p w14:paraId="23A8B964" w14:textId="77777777" w:rsidR="003A25B5" w:rsidRPr="002429EE" w:rsidRDefault="003A25B5" w:rsidP="002815EF">
            <w:pPr>
              <w:pStyle w:val="Fuzeile"/>
              <w:rPr>
                <w:sz w:val="20"/>
                <w:lang w:val="en-US"/>
              </w:rPr>
            </w:pPr>
          </w:p>
          <w:p w14:paraId="1ADCF451" w14:textId="77777777" w:rsidR="00D26979" w:rsidRPr="001D3094" w:rsidRDefault="008B6935">
            <w:pPr>
              <w:pStyle w:val="Fuzeile"/>
              <w:rPr>
                <w:sz w:val="20"/>
                <w:lang w:val="en-US"/>
              </w:rPr>
            </w:pPr>
            <w:r w:rsidRPr="001D3094">
              <w:rPr>
                <w:sz w:val="20"/>
                <w:lang w:val="en-US"/>
              </w:rPr>
              <w:t xml:space="preserve">Astrid de </w:t>
            </w:r>
            <w:proofErr w:type="spellStart"/>
            <w:r w:rsidRPr="001D3094">
              <w:rPr>
                <w:sz w:val="20"/>
                <w:lang w:val="en-US"/>
              </w:rPr>
              <w:t>Latude</w:t>
            </w:r>
            <w:proofErr w:type="spellEnd"/>
          </w:p>
          <w:p w14:paraId="299589BD" w14:textId="77777777" w:rsidR="00D26979" w:rsidRPr="001D3094" w:rsidRDefault="008B6935">
            <w:pPr>
              <w:pStyle w:val="Fuzeile"/>
              <w:rPr>
                <w:sz w:val="20"/>
                <w:lang w:val="en-US"/>
              </w:rPr>
            </w:pPr>
            <w:r w:rsidRPr="001D3094">
              <w:rPr>
                <w:sz w:val="20"/>
                <w:lang w:val="en-US"/>
              </w:rPr>
              <w:t>+33 6 25 63 22 08</w:t>
            </w:r>
          </w:p>
          <w:p w14:paraId="68D1E7FB" w14:textId="2D2B85D7" w:rsidR="00D26979" w:rsidRPr="001D3094" w:rsidRDefault="00DC26FA">
            <w:pPr>
              <w:pStyle w:val="Fuzeile"/>
              <w:rPr>
                <w:rStyle w:val="Hyperlink"/>
                <w:sz w:val="20"/>
                <w:lang w:val="en-US"/>
              </w:rPr>
            </w:pPr>
            <w:hyperlink r:id="rId14" w:history="1">
              <w:r w:rsidR="00E96731" w:rsidRPr="001D3094">
                <w:rPr>
                  <w:rStyle w:val="Hyperlink"/>
                  <w:sz w:val="20"/>
                  <w:lang w:val="en-US"/>
                </w:rPr>
                <w:t>astrid.de-latude@renault.com</w:t>
              </w:r>
            </w:hyperlink>
          </w:p>
          <w:p w14:paraId="21160D6F" w14:textId="77777777" w:rsidR="002429EE" w:rsidRPr="001D3094" w:rsidRDefault="002429EE">
            <w:pPr>
              <w:pStyle w:val="Fuzeile"/>
              <w:rPr>
                <w:sz w:val="20"/>
                <w:lang w:val="en-US"/>
              </w:rPr>
            </w:pPr>
          </w:p>
          <w:p w14:paraId="739597CC" w14:textId="73C6E665" w:rsidR="002429EE" w:rsidRPr="002429EE" w:rsidRDefault="002429EE" w:rsidP="002429EE">
            <w:pPr>
              <w:pStyle w:val="Fuzeile"/>
              <w:rPr>
                <w:sz w:val="20"/>
                <w:lang w:val="de-AT"/>
              </w:rPr>
            </w:pPr>
            <w:r w:rsidRPr="002429EE">
              <w:rPr>
                <w:sz w:val="20"/>
                <w:lang w:val="de-AT"/>
              </w:rPr>
              <w:t>Karin Kirchner</w:t>
            </w:r>
          </w:p>
          <w:p w14:paraId="4CED6897" w14:textId="33F2D3C7" w:rsidR="002429EE" w:rsidRPr="002429EE" w:rsidRDefault="002429EE" w:rsidP="002429EE">
            <w:pPr>
              <w:pStyle w:val="Fuzeile"/>
              <w:rPr>
                <w:sz w:val="20"/>
                <w:lang w:val="de-AT"/>
              </w:rPr>
            </w:pPr>
            <w:r w:rsidRPr="002429EE">
              <w:rPr>
                <w:sz w:val="20"/>
                <w:lang w:val="de-AT"/>
              </w:rPr>
              <w:t>+43 1 68 01 01 03</w:t>
            </w:r>
          </w:p>
          <w:p w14:paraId="4AD24FE2" w14:textId="579B43F7" w:rsidR="002429EE" w:rsidRPr="002429EE" w:rsidRDefault="00DC26FA" w:rsidP="002429EE">
            <w:pPr>
              <w:pStyle w:val="Fuzeile"/>
              <w:rPr>
                <w:rStyle w:val="Hyperlink"/>
                <w:sz w:val="20"/>
                <w:lang w:val="de-AT"/>
              </w:rPr>
            </w:pPr>
            <w:hyperlink r:id="rId15" w:history="1">
              <w:r w:rsidR="002429EE" w:rsidRPr="002429EE">
                <w:rPr>
                  <w:rStyle w:val="Hyperlink"/>
                  <w:sz w:val="20"/>
                  <w:lang w:val="de-AT"/>
                </w:rPr>
                <w:t>karin.kirchner@renault.com</w:t>
              </w:r>
            </w:hyperlink>
          </w:p>
          <w:p w14:paraId="57BD7D98" w14:textId="77777777" w:rsidR="002815EF" w:rsidRPr="002429EE" w:rsidRDefault="002815EF" w:rsidP="002815EF">
            <w:pPr>
              <w:pStyle w:val="Fuzeile"/>
              <w:rPr>
                <w:sz w:val="20"/>
                <w:lang w:val="de-AT"/>
              </w:rPr>
            </w:pPr>
          </w:p>
        </w:tc>
        <w:tc>
          <w:tcPr>
            <w:tcW w:w="2516" w:type="dxa"/>
          </w:tcPr>
          <w:p w14:paraId="1B882243" w14:textId="77777777" w:rsidR="002815EF" w:rsidRPr="002429EE" w:rsidRDefault="002815EF" w:rsidP="002815EF">
            <w:pPr>
              <w:pStyle w:val="Fuzeile"/>
              <w:rPr>
                <w:sz w:val="20"/>
                <w:lang w:val="de-AT"/>
              </w:rPr>
            </w:pPr>
          </w:p>
        </w:tc>
        <w:tc>
          <w:tcPr>
            <w:tcW w:w="3998" w:type="dxa"/>
          </w:tcPr>
          <w:p w14:paraId="50972959" w14:textId="77777777" w:rsidR="002815EF" w:rsidRPr="002429EE" w:rsidRDefault="002815EF" w:rsidP="002815EF">
            <w:pPr>
              <w:pStyle w:val="Fuzeile"/>
              <w:rPr>
                <w:rStyle w:val="Seitenzahl"/>
                <w:b/>
                <w:sz w:val="20"/>
                <w:lang w:val="de-AT"/>
              </w:rPr>
            </w:pPr>
          </w:p>
        </w:tc>
      </w:tr>
    </w:tbl>
    <w:p w14:paraId="64C04A21" w14:textId="77777777" w:rsidR="00D27937" w:rsidRPr="001D3094" w:rsidRDefault="00D27937" w:rsidP="00804814">
      <w:pPr>
        <w:spacing w:before="0" w:line="240" w:lineRule="auto"/>
        <w:jc w:val="both"/>
        <w:rPr>
          <w:b/>
          <w:szCs w:val="18"/>
          <w:lang w:val="de-AT"/>
        </w:rPr>
      </w:pPr>
    </w:p>
    <w:sectPr w:rsidR="00D27937" w:rsidRPr="001D3094" w:rsidSect="00F359D2">
      <w:headerReference w:type="default" r:id="rId16"/>
      <w:footerReference w:type="default" r:id="rId17"/>
      <w:headerReference w:type="first" r:id="rId18"/>
      <w:footerReference w:type="first" r:id="rId19"/>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B17E" w14:textId="77777777" w:rsidR="002B04CF" w:rsidRDefault="002B04CF" w:rsidP="00A602D8">
      <w:pPr>
        <w:spacing w:before="0" w:line="240" w:lineRule="auto"/>
      </w:pPr>
      <w:r>
        <w:rPr>
          <w:lang w:val="en"/>
        </w:rPr>
        <w:separator/>
      </w:r>
    </w:p>
  </w:endnote>
  <w:endnote w:type="continuationSeparator" w:id="0">
    <w:p w14:paraId="0CF3CC9C" w14:textId="77777777" w:rsidR="002B04CF" w:rsidRDefault="002B04CF" w:rsidP="00A602D8">
      <w:pPr>
        <w:spacing w:before="0" w:line="240" w:lineRule="auto"/>
      </w:pPr>
      <w:r>
        <w:rPr>
          <w:lang w:val="en"/>
        </w:rPr>
        <w:continuationSeparator/>
      </w:r>
    </w:p>
  </w:endnote>
  <w:endnote w:type="continuationNotice" w:id="1">
    <w:p w14:paraId="2E6F3C03" w14:textId="77777777" w:rsidR="002B04CF" w:rsidRDefault="002B04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Light">
    <w:charset w:val="00"/>
    <w:family w:val="auto"/>
    <w:pitch w:val="variable"/>
    <w:sig w:usb0="E00002A7" w:usb1="50000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enault Group Semibold">
    <w:panose1 w:val="00000000000000000000"/>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4F7EFDF5" w14:textId="77777777" w:rsidTr="00233353">
      <w:tc>
        <w:tcPr>
          <w:tcW w:w="528" w:type="dxa"/>
        </w:tcPr>
        <w:p w14:paraId="698FDF86" w14:textId="77777777" w:rsidR="00D26979" w:rsidRDefault="008B6935">
          <w:pPr>
            <w:pStyle w:val="Fuzeile"/>
            <w:jc w:val="right"/>
            <w:rPr>
              <w:b/>
            </w:rPr>
          </w:pPr>
          <w:r>
            <w:rPr>
              <w:b/>
              <w:noProof/>
              <w:lang w:val="en"/>
            </w:rPr>
            <mc:AlternateContent>
              <mc:Choice Requires="wps">
                <w:drawing>
                  <wp:anchor distT="0" distB="0" distL="114300" distR="114300" simplePos="0" relativeHeight="251657216" behindDoc="0" locked="0" layoutInCell="0" allowOverlap="1" wp14:anchorId="5BF8AB20" wp14:editId="6DC9D3E6">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C01B2" w14:textId="76D24FDC" w:rsidR="00D26979" w:rsidRDefault="008B6935">
                                <w:pPr>
                                  <w:spacing w:before="0"/>
                                  <w:jc w:val="right"/>
                                  <w:rPr>
                                    <w:rFonts w:ascii="Arial" w:hAnsi="Arial" w:cs="Arial"/>
                                    <w:color w:val="000000"/>
                                    <w:sz w:val="20"/>
                                  </w:rPr>
                                </w:pPr>
                                <w:r>
                                  <w:rPr>
                                    <w:color w:val="000000"/>
                                    <w:sz w:val="20"/>
                                    <w:lang w:val="en"/>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BF8AB20"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56DC01B2" w14:textId="76D24FDC" w:rsidR="00D26979" w:rsidRDefault="008B6935">
                          <w:pPr>
                            <w:spacing w:before="0"/>
                            <w:jc w:val="right"/>
                            <w:rPr>
                              <w:rFonts w:ascii="Arial" w:hAnsi="Arial" w:cs="Arial"/>
                              <w:color w:val="000000"/>
                              <w:sz w:val="20"/>
                            </w:rPr>
                          </w:pPr>
                          <w:r>
                            <w:rPr>
                              <w:color w:val="000000"/>
                              <w:sz w:val="20"/>
                              <w:lang w:val="en"/>
                            </w:rPr>
                            <w:t>Confidential C</w:t>
                          </w:r>
                        </w:p>
                      </w:txbxContent>
                    </v:textbox>
                    <w10:wrap anchorx="page" anchory="page"/>
                  </v:shape>
                </w:pict>
              </mc:Fallback>
            </mc:AlternateContent>
          </w:r>
          <w:r w:rsidR="00CB1F1A" w:rsidRPr="007D3970">
            <w:rPr>
              <w:rStyle w:val="Seitenzahl"/>
              <w:b/>
              <w:lang w:val="en"/>
            </w:rPr>
            <w:fldChar w:fldCharType="begin"/>
          </w:r>
          <w:r w:rsidR="00CB1F1A" w:rsidRPr="007D3970">
            <w:rPr>
              <w:rStyle w:val="Seitenzahl"/>
              <w:b/>
              <w:lang w:val="en"/>
            </w:rPr>
            <w:instrText xml:space="preserve"> PAGE </w:instrText>
          </w:r>
          <w:r w:rsidR="00CB1F1A" w:rsidRPr="007D3970">
            <w:rPr>
              <w:rStyle w:val="Seitenzahl"/>
              <w:b/>
              <w:lang w:val="en"/>
            </w:rPr>
            <w:fldChar w:fldCharType="separate"/>
          </w:r>
          <w:r w:rsidR="00CB1F1A">
            <w:rPr>
              <w:rStyle w:val="Seitenzahl"/>
              <w:b/>
              <w:noProof/>
              <w:lang w:val="en"/>
            </w:rPr>
            <w:t>2</w:t>
          </w:r>
          <w:r w:rsidR="00CB1F1A" w:rsidRPr="007D3970">
            <w:rPr>
              <w:rStyle w:val="Seitenzahl"/>
              <w:b/>
              <w:lang w:val="en"/>
            </w:rPr>
            <w:fldChar w:fldCharType="end"/>
          </w:r>
        </w:p>
      </w:tc>
    </w:tr>
  </w:tbl>
  <w:p w14:paraId="55E1778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525A07DD" w14:textId="77777777" w:rsidTr="007D3970">
      <w:tc>
        <w:tcPr>
          <w:tcW w:w="1560" w:type="dxa"/>
        </w:tcPr>
        <w:p w14:paraId="0EF49B9B" w14:textId="77777777" w:rsidR="00D26979" w:rsidRDefault="008B6935">
          <w:pPr>
            <w:pStyle w:val="Fuzeile"/>
            <w:rPr>
              <w:b/>
              <w:sz w:val="16"/>
              <w:szCs w:val="16"/>
            </w:rPr>
          </w:pPr>
          <w:r w:rsidRPr="007D3970">
            <w:rPr>
              <w:b/>
              <w:sz w:val="16"/>
              <w:szCs w:val="16"/>
              <w:lang w:val="en"/>
            </w:rPr>
            <w:t>RENAULT PRESSE</w:t>
          </w:r>
        </w:p>
      </w:tc>
      <w:tc>
        <w:tcPr>
          <w:tcW w:w="8079" w:type="dxa"/>
        </w:tcPr>
        <w:p w14:paraId="59025356" w14:textId="77777777" w:rsidR="00D26979" w:rsidRPr="002429EE" w:rsidRDefault="008B6935">
          <w:pPr>
            <w:pStyle w:val="Fuzeile"/>
            <w:rPr>
              <w:lang w:val="de-AT"/>
            </w:rPr>
          </w:pPr>
          <w:r w:rsidRPr="002429EE">
            <w:rPr>
              <w:lang w:val="de-AT"/>
            </w:rPr>
            <w:t>+33 0 00 00 00</w:t>
          </w:r>
        </w:p>
        <w:p w14:paraId="4943F5C4" w14:textId="77777777" w:rsidR="00D26979" w:rsidRPr="002429EE" w:rsidRDefault="008B6935">
          <w:pPr>
            <w:pStyle w:val="Fuzeile"/>
            <w:rPr>
              <w:lang w:val="de-AT"/>
            </w:rPr>
          </w:pPr>
          <w:r w:rsidRPr="002429EE">
            <w:rPr>
              <w:lang w:val="de-AT"/>
            </w:rPr>
            <w:t xml:space="preserve">media.renault@renault.fr </w:t>
          </w:r>
        </w:p>
        <w:p w14:paraId="4F382CC7" w14:textId="77777777" w:rsidR="00D26979" w:rsidRPr="002429EE" w:rsidRDefault="008B6935">
          <w:pPr>
            <w:pStyle w:val="Fuzeile"/>
            <w:rPr>
              <w:lang w:val="de-AT"/>
            </w:rPr>
          </w:pPr>
          <w:r w:rsidRPr="002429EE">
            <w:rPr>
              <w:lang w:val="de-AT"/>
            </w:rPr>
            <w:t>mediarenault.de</w:t>
          </w:r>
        </w:p>
      </w:tc>
      <w:tc>
        <w:tcPr>
          <w:tcW w:w="555" w:type="dxa"/>
        </w:tcPr>
        <w:p w14:paraId="391AC08F" w14:textId="77777777" w:rsidR="00D26979" w:rsidRDefault="008B6935">
          <w:pPr>
            <w:pStyle w:val="Fuzeile"/>
            <w:jc w:val="right"/>
            <w:rPr>
              <w:b/>
            </w:rPr>
          </w:pPr>
          <w:r w:rsidRPr="007D3970">
            <w:rPr>
              <w:rStyle w:val="Seitenzahl"/>
              <w:b/>
              <w:lang w:val="en"/>
            </w:rPr>
            <w:fldChar w:fldCharType="begin"/>
          </w:r>
          <w:r w:rsidRPr="007D3970">
            <w:rPr>
              <w:rStyle w:val="Seitenzahl"/>
              <w:b/>
              <w:lang w:val="en"/>
            </w:rPr>
            <w:instrText xml:space="preserve"> PAGE </w:instrText>
          </w:r>
          <w:r w:rsidRPr="007D3970">
            <w:rPr>
              <w:rStyle w:val="Seitenzahl"/>
              <w:b/>
              <w:lang w:val="en"/>
            </w:rPr>
            <w:fldChar w:fldCharType="separate"/>
          </w:r>
          <w:r w:rsidR="00F22D0C">
            <w:rPr>
              <w:rStyle w:val="Seitenzahl"/>
              <w:b/>
              <w:noProof/>
              <w:lang w:val="en"/>
            </w:rPr>
            <w:t>1</w:t>
          </w:r>
          <w:r w:rsidRPr="007D3970">
            <w:rPr>
              <w:rStyle w:val="Seitenzahl"/>
              <w:b/>
              <w:lang w:val="en"/>
            </w:rPr>
            <w:fldChar w:fldCharType="end"/>
          </w:r>
        </w:p>
      </w:tc>
    </w:tr>
  </w:tbl>
  <w:p w14:paraId="62EC81EC"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EF58" w14:textId="77777777" w:rsidR="002B04CF" w:rsidRDefault="002B04CF" w:rsidP="00A602D8">
      <w:pPr>
        <w:spacing w:before="0" w:line="240" w:lineRule="auto"/>
      </w:pPr>
      <w:r>
        <w:rPr>
          <w:lang w:val="en"/>
        </w:rPr>
        <w:separator/>
      </w:r>
    </w:p>
  </w:footnote>
  <w:footnote w:type="continuationSeparator" w:id="0">
    <w:p w14:paraId="2B403E1B" w14:textId="77777777" w:rsidR="002B04CF" w:rsidRDefault="002B04CF" w:rsidP="00A602D8">
      <w:pPr>
        <w:spacing w:before="0" w:line="240" w:lineRule="auto"/>
      </w:pPr>
      <w:r>
        <w:rPr>
          <w:lang w:val="en"/>
        </w:rPr>
        <w:continuationSeparator/>
      </w:r>
    </w:p>
  </w:footnote>
  <w:footnote w:type="continuationNotice" w:id="1">
    <w:p w14:paraId="12D1C6C7" w14:textId="77777777" w:rsidR="002B04CF" w:rsidRDefault="002B04CF">
      <w:pPr>
        <w:spacing w:before="0" w:line="240" w:lineRule="auto"/>
      </w:pPr>
    </w:p>
  </w:footnote>
  <w:footnote w:id="2">
    <w:p w14:paraId="461893C5" w14:textId="0EAD5AC8" w:rsidR="00D26979" w:rsidRPr="00473737" w:rsidRDefault="008B6935">
      <w:pPr>
        <w:pStyle w:val="Funotentext"/>
        <w:jc w:val="both"/>
        <w:rPr>
          <w:sz w:val="14"/>
          <w:szCs w:val="14"/>
          <w:lang w:val="de-AT"/>
        </w:rPr>
      </w:pPr>
      <w:r w:rsidRPr="00B64A20">
        <w:rPr>
          <w:rStyle w:val="Funotenzeichen"/>
          <w:sz w:val="14"/>
          <w:szCs w:val="14"/>
          <w:lang w:val="en"/>
        </w:rPr>
        <w:footnoteRef/>
      </w:r>
      <w:r w:rsidRPr="002429EE">
        <w:rPr>
          <w:sz w:val="14"/>
          <w:szCs w:val="14"/>
          <w:lang w:val="de-AT"/>
        </w:rPr>
        <w:t xml:space="preserve"> </w:t>
      </w:r>
      <w:r w:rsidRPr="00473737">
        <w:rPr>
          <w:sz w:val="14"/>
          <w:szCs w:val="14"/>
          <w:lang w:val="de-AT"/>
        </w:rPr>
        <w:t>Um die Entwicklung des konsolidierten Umsatzes bei konstantem Konsolidierungskreis und konstanten Wechselkursen zu analysieren, berechnet die Renault-Gr</w:t>
      </w:r>
      <w:r w:rsidR="008E1253" w:rsidRPr="00473737">
        <w:rPr>
          <w:sz w:val="14"/>
          <w:szCs w:val="14"/>
          <w:lang w:val="de-AT"/>
        </w:rPr>
        <w:t>oup</w:t>
      </w:r>
      <w:r w:rsidRPr="00473737">
        <w:rPr>
          <w:sz w:val="14"/>
          <w:szCs w:val="14"/>
          <w:lang w:val="de-AT"/>
        </w:rPr>
        <w:t xml:space="preserve"> den Umsatz für das laufende Geschäftsjahr neu, indem sie die durchschnittlichen Wechselkurse des vorangegangenen Zeitraums anwendet und wesentliche Änderungen des Konsolidierungskreises während des Zeitraums ausschließt.</w:t>
      </w:r>
    </w:p>
  </w:footnote>
  <w:footnote w:id="3">
    <w:p w14:paraId="37E9C2BC" w14:textId="77777777" w:rsidR="00D26979" w:rsidRPr="00473737" w:rsidRDefault="008B6935">
      <w:pPr>
        <w:pStyle w:val="Funotentext"/>
        <w:jc w:val="both"/>
        <w:rPr>
          <w:sz w:val="14"/>
          <w:szCs w:val="14"/>
          <w:lang w:val="de-AT"/>
        </w:rPr>
      </w:pPr>
      <w:r w:rsidRPr="00473737">
        <w:rPr>
          <w:rStyle w:val="Funotenzeichen"/>
          <w:sz w:val="14"/>
          <w:szCs w:val="14"/>
          <w:lang w:val="de-AT"/>
        </w:rPr>
        <w:footnoteRef/>
      </w:r>
      <w:r w:rsidRPr="00473737">
        <w:rPr>
          <w:sz w:val="14"/>
          <w:szCs w:val="14"/>
          <w:lang w:val="de-AT"/>
        </w:rPr>
        <w:t xml:space="preserve"> Frankreich, Deutschland, Spanien, Italien, Vereinigtes Königreich</w:t>
      </w:r>
    </w:p>
  </w:footnote>
  <w:footnote w:id="4">
    <w:p w14:paraId="1DE07BCB" w14:textId="77777777" w:rsidR="00D26979" w:rsidRPr="00473737" w:rsidRDefault="008B6935">
      <w:pPr>
        <w:pStyle w:val="Funotentext"/>
        <w:rPr>
          <w:sz w:val="14"/>
          <w:szCs w:val="14"/>
          <w:lang w:val="de-AT"/>
        </w:rPr>
      </w:pPr>
      <w:r>
        <w:rPr>
          <w:rStyle w:val="Funotenzeichen"/>
          <w:lang w:val="en"/>
        </w:rPr>
        <w:footnoteRef/>
      </w:r>
      <w:r w:rsidRPr="002429EE">
        <w:rPr>
          <w:sz w:val="14"/>
          <w:szCs w:val="14"/>
          <w:lang w:val="de-AT"/>
        </w:rPr>
        <w:t xml:space="preserve"> </w:t>
      </w:r>
      <w:r w:rsidRPr="00473737">
        <w:rPr>
          <w:sz w:val="14"/>
          <w:szCs w:val="14"/>
          <w:lang w:val="de-AT"/>
        </w:rPr>
        <w:t>Um die Entwicklung des konsolidierten Umsatzes bei konstantem Konsolidierungskreis und konstanten Wechselkursen zu analysieren, berechnet die Renault-Gruppe den Umsatz für das laufende Geschäftsjahr neu, indem sie die durchschnittlichen Wechselkurse des vorangegangenen Zeitraums anwendet und wesentliche Änderungen des Konsolidierungskreises während des Zeitraums ausschließt.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9B9" w14:textId="77777777" w:rsidR="00F22D0C" w:rsidRDefault="00F22D0C" w:rsidP="00F22D0C">
    <w:pPr>
      <w:pStyle w:val="Kopfzeile"/>
      <w:pBdr>
        <w:bottom w:val="single" w:sz="8" w:space="15" w:color="auto"/>
      </w:pBdr>
    </w:pPr>
    <w:r>
      <w:rPr>
        <w:noProof/>
        <w:lang w:val="en" w:eastAsia="fr-FR"/>
      </w:rPr>
      <w:drawing>
        <wp:inline distT="0" distB="0" distL="0" distR="0" wp14:anchorId="69D7C7FB" wp14:editId="161FC5EC">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DCDC" w14:textId="77777777" w:rsidR="00A602D8" w:rsidRDefault="00F22D0C" w:rsidP="00F22D0C">
    <w:pPr>
      <w:pStyle w:val="Kopfzeile"/>
      <w:pBdr>
        <w:bottom w:val="single" w:sz="8" w:space="15" w:color="auto"/>
      </w:pBdr>
    </w:pPr>
    <w:r>
      <w:rPr>
        <w:noProof/>
        <w:lang w:val="en" w:eastAsia="fr-FR"/>
      </w:rPr>
      <w:drawing>
        <wp:inline distT="0" distB="0" distL="0" distR="0" wp14:anchorId="72D30042" wp14:editId="23BDDEC9">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DB1E3B"/>
    <w:multiLevelType w:val="hybridMultilevel"/>
    <w:tmpl w:val="74A41D22"/>
    <w:lvl w:ilvl="0" w:tplc="AA4C9BF4">
      <w:numFmt w:val="bullet"/>
      <w:lvlText w:val="-"/>
      <w:lvlJc w:val="left"/>
      <w:pPr>
        <w:ind w:left="1709" w:hanging="360"/>
      </w:pPr>
      <w:rPr>
        <w:rFonts w:ascii="Arial" w:eastAsiaTheme="minorHAnsi" w:hAnsi="Arial" w:cs="Aria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13" w15:restartNumberingAfterBreak="0">
    <w:nsid w:val="0E3A6F6A"/>
    <w:multiLevelType w:val="hybridMultilevel"/>
    <w:tmpl w:val="2F30C5B4"/>
    <w:lvl w:ilvl="0" w:tplc="E18EC39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37B1324"/>
    <w:multiLevelType w:val="hybridMultilevel"/>
    <w:tmpl w:val="10F27D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4EC65BA"/>
    <w:multiLevelType w:val="hybridMultilevel"/>
    <w:tmpl w:val="E5442844"/>
    <w:lvl w:ilvl="0" w:tplc="C0262A02">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241551"/>
    <w:multiLevelType w:val="hybridMultilevel"/>
    <w:tmpl w:val="F500C964"/>
    <w:lvl w:ilvl="0" w:tplc="4516A89C">
      <w:start w:val="5"/>
      <w:numFmt w:val="bullet"/>
      <w:lvlText w:val="-"/>
      <w:lvlJc w:val="left"/>
      <w:pPr>
        <w:ind w:left="720" w:hanging="360"/>
      </w:pPr>
      <w:rPr>
        <w:rFonts w:ascii="Renault Group" w:eastAsiaTheme="minorHAnsi" w:hAnsi="Renault Group"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27A1A"/>
    <w:multiLevelType w:val="hybridMultilevel"/>
    <w:tmpl w:val="1B866D46"/>
    <w:lvl w:ilvl="0" w:tplc="942E1B5A">
      <w:start w:val="1"/>
      <w:numFmt w:val="bullet"/>
      <w:lvlText w:val="•"/>
      <w:lvlJc w:val="left"/>
      <w:pPr>
        <w:tabs>
          <w:tab w:val="num" w:pos="720"/>
        </w:tabs>
        <w:ind w:left="720" w:hanging="360"/>
      </w:pPr>
      <w:rPr>
        <w:rFonts w:ascii="Arial" w:hAnsi="Arial" w:hint="default"/>
      </w:rPr>
    </w:lvl>
    <w:lvl w:ilvl="1" w:tplc="96BC1294" w:tentative="1">
      <w:start w:val="1"/>
      <w:numFmt w:val="bullet"/>
      <w:lvlText w:val="•"/>
      <w:lvlJc w:val="left"/>
      <w:pPr>
        <w:tabs>
          <w:tab w:val="num" w:pos="1440"/>
        </w:tabs>
        <w:ind w:left="1440" w:hanging="360"/>
      </w:pPr>
      <w:rPr>
        <w:rFonts w:ascii="Arial" w:hAnsi="Arial" w:hint="default"/>
      </w:rPr>
    </w:lvl>
    <w:lvl w:ilvl="2" w:tplc="22EC08CC" w:tentative="1">
      <w:start w:val="1"/>
      <w:numFmt w:val="bullet"/>
      <w:lvlText w:val="•"/>
      <w:lvlJc w:val="left"/>
      <w:pPr>
        <w:tabs>
          <w:tab w:val="num" w:pos="2160"/>
        </w:tabs>
        <w:ind w:left="2160" w:hanging="360"/>
      </w:pPr>
      <w:rPr>
        <w:rFonts w:ascii="Arial" w:hAnsi="Arial" w:hint="default"/>
      </w:rPr>
    </w:lvl>
    <w:lvl w:ilvl="3" w:tplc="CEAC33D6" w:tentative="1">
      <w:start w:val="1"/>
      <w:numFmt w:val="bullet"/>
      <w:lvlText w:val="•"/>
      <w:lvlJc w:val="left"/>
      <w:pPr>
        <w:tabs>
          <w:tab w:val="num" w:pos="2880"/>
        </w:tabs>
        <w:ind w:left="2880" w:hanging="360"/>
      </w:pPr>
      <w:rPr>
        <w:rFonts w:ascii="Arial" w:hAnsi="Arial" w:hint="default"/>
      </w:rPr>
    </w:lvl>
    <w:lvl w:ilvl="4" w:tplc="26A293B2" w:tentative="1">
      <w:start w:val="1"/>
      <w:numFmt w:val="bullet"/>
      <w:lvlText w:val="•"/>
      <w:lvlJc w:val="left"/>
      <w:pPr>
        <w:tabs>
          <w:tab w:val="num" w:pos="3600"/>
        </w:tabs>
        <w:ind w:left="3600" w:hanging="360"/>
      </w:pPr>
      <w:rPr>
        <w:rFonts w:ascii="Arial" w:hAnsi="Arial" w:hint="default"/>
      </w:rPr>
    </w:lvl>
    <w:lvl w:ilvl="5" w:tplc="9D8A4C0C" w:tentative="1">
      <w:start w:val="1"/>
      <w:numFmt w:val="bullet"/>
      <w:lvlText w:val="•"/>
      <w:lvlJc w:val="left"/>
      <w:pPr>
        <w:tabs>
          <w:tab w:val="num" w:pos="4320"/>
        </w:tabs>
        <w:ind w:left="4320" w:hanging="360"/>
      </w:pPr>
      <w:rPr>
        <w:rFonts w:ascii="Arial" w:hAnsi="Arial" w:hint="default"/>
      </w:rPr>
    </w:lvl>
    <w:lvl w:ilvl="6" w:tplc="C55E2E72" w:tentative="1">
      <w:start w:val="1"/>
      <w:numFmt w:val="bullet"/>
      <w:lvlText w:val="•"/>
      <w:lvlJc w:val="left"/>
      <w:pPr>
        <w:tabs>
          <w:tab w:val="num" w:pos="5040"/>
        </w:tabs>
        <w:ind w:left="5040" w:hanging="360"/>
      </w:pPr>
      <w:rPr>
        <w:rFonts w:ascii="Arial" w:hAnsi="Arial" w:hint="default"/>
      </w:rPr>
    </w:lvl>
    <w:lvl w:ilvl="7" w:tplc="4AC00012" w:tentative="1">
      <w:start w:val="1"/>
      <w:numFmt w:val="bullet"/>
      <w:lvlText w:val="•"/>
      <w:lvlJc w:val="left"/>
      <w:pPr>
        <w:tabs>
          <w:tab w:val="num" w:pos="5760"/>
        </w:tabs>
        <w:ind w:left="5760" w:hanging="360"/>
      </w:pPr>
      <w:rPr>
        <w:rFonts w:ascii="Arial" w:hAnsi="Arial" w:hint="default"/>
      </w:rPr>
    </w:lvl>
    <w:lvl w:ilvl="8" w:tplc="21401586">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4D2937"/>
    <w:multiLevelType w:val="hybridMultilevel"/>
    <w:tmpl w:val="5D18C250"/>
    <w:lvl w:ilvl="0" w:tplc="FC0AC2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BF4BB5"/>
    <w:multiLevelType w:val="hybridMultilevel"/>
    <w:tmpl w:val="7C42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0A2203"/>
    <w:multiLevelType w:val="hybridMultilevel"/>
    <w:tmpl w:val="0D7216C8"/>
    <w:lvl w:ilvl="0" w:tplc="53DA36D0">
      <w:start w:val="1"/>
      <w:numFmt w:val="bullet"/>
      <w:lvlText w:val=""/>
      <w:lvlJc w:val="left"/>
      <w:pPr>
        <w:tabs>
          <w:tab w:val="num" w:pos="720"/>
        </w:tabs>
        <w:ind w:left="720" w:hanging="360"/>
      </w:pPr>
      <w:rPr>
        <w:rFonts w:ascii="Wingdings" w:hAnsi="Wingdings" w:hint="default"/>
      </w:rPr>
    </w:lvl>
    <w:lvl w:ilvl="1" w:tplc="2AB02A0A">
      <w:start w:val="1"/>
      <w:numFmt w:val="bullet"/>
      <w:lvlText w:val=""/>
      <w:lvlJc w:val="left"/>
      <w:pPr>
        <w:tabs>
          <w:tab w:val="num" w:pos="1440"/>
        </w:tabs>
        <w:ind w:left="1440" w:hanging="360"/>
      </w:pPr>
      <w:rPr>
        <w:rFonts w:ascii="Wingdings" w:hAnsi="Wingdings" w:hint="default"/>
      </w:rPr>
    </w:lvl>
    <w:lvl w:ilvl="2" w:tplc="119615F0" w:tentative="1">
      <w:start w:val="1"/>
      <w:numFmt w:val="bullet"/>
      <w:lvlText w:val=""/>
      <w:lvlJc w:val="left"/>
      <w:pPr>
        <w:tabs>
          <w:tab w:val="num" w:pos="2160"/>
        </w:tabs>
        <w:ind w:left="2160" w:hanging="360"/>
      </w:pPr>
      <w:rPr>
        <w:rFonts w:ascii="Wingdings" w:hAnsi="Wingdings" w:hint="default"/>
      </w:rPr>
    </w:lvl>
    <w:lvl w:ilvl="3" w:tplc="ED1CF782" w:tentative="1">
      <w:start w:val="1"/>
      <w:numFmt w:val="bullet"/>
      <w:lvlText w:val=""/>
      <w:lvlJc w:val="left"/>
      <w:pPr>
        <w:tabs>
          <w:tab w:val="num" w:pos="2880"/>
        </w:tabs>
        <w:ind w:left="2880" w:hanging="360"/>
      </w:pPr>
      <w:rPr>
        <w:rFonts w:ascii="Wingdings" w:hAnsi="Wingdings" w:hint="default"/>
      </w:rPr>
    </w:lvl>
    <w:lvl w:ilvl="4" w:tplc="BB1467C2" w:tentative="1">
      <w:start w:val="1"/>
      <w:numFmt w:val="bullet"/>
      <w:lvlText w:val=""/>
      <w:lvlJc w:val="left"/>
      <w:pPr>
        <w:tabs>
          <w:tab w:val="num" w:pos="3600"/>
        </w:tabs>
        <w:ind w:left="3600" w:hanging="360"/>
      </w:pPr>
      <w:rPr>
        <w:rFonts w:ascii="Wingdings" w:hAnsi="Wingdings" w:hint="default"/>
      </w:rPr>
    </w:lvl>
    <w:lvl w:ilvl="5" w:tplc="F20C3ADC" w:tentative="1">
      <w:start w:val="1"/>
      <w:numFmt w:val="bullet"/>
      <w:lvlText w:val=""/>
      <w:lvlJc w:val="left"/>
      <w:pPr>
        <w:tabs>
          <w:tab w:val="num" w:pos="4320"/>
        </w:tabs>
        <w:ind w:left="4320" w:hanging="360"/>
      </w:pPr>
      <w:rPr>
        <w:rFonts w:ascii="Wingdings" w:hAnsi="Wingdings" w:hint="default"/>
      </w:rPr>
    </w:lvl>
    <w:lvl w:ilvl="6" w:tplc="73169D96" w:tentative="1">
      <w:start w:val="1"/>
      <w:numFmt w:val="bullet"/>
      <w:lvlText w:val=""/>
      <w:lvlJc w:val="left"/>
      <w:pPr>
        <w:tabs>
          <w:tab w:val="num" w:pos="5040"/>
        </w:tabs>
        <w:ind w:left="5040" w:hanging="360"/>
      </w:pPr>
      <w:rPr>
        <w:rFonts w:ascii="Wingdings" w:hAnsi="Wingdings" w:hint="default"/>
      </w:rPr>
    </w:lvl>
    <w:lvl w:ilvl="7" w:tplc="0E80890E" w:tentative="1">
      <w:start w:val="1"/>
      <w:numFmt w:val="bullet"/>
      <w:lvlText w:val=""/>
      <w:lvlJc w:val="left"/>
      <w:pPr>
        <w:tabs>
          <w:tab w:val="num" w:pos="5760"/>
        </w:tabs>
        <w:ind w:left="5760" w:hanging="360"/>
      </w:pPr>
      <w:rPr>
        <w:rFonts w:ascii="Wingdings" w:hAnsi="Wingdings" w:hint="default"/>
      </w:rPr>
    </w:lvl>
    <w:lvl w:ilvl="8" w:tplc="812AA6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658E3"/>
    <w:multiLevelType w:val="hybridMultilevel"/>
    <w:tmpl w:val="51208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B512EF3"/>
    <w:multiLevelType w:val="multilevel"/>
    <w:tmpl w:val="DC7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5C1B"/>
    <w:multiLevelType w:val="hybridMultilevel"/>
    <w:tmpl w:val="F52057E6"/>
    <w:lvl w:ilvl="0" w:tplc="040C0001">
      <w:start w:val="1"/>
      <w:numFmt w:val="bullet"/>
      <w:lvlText w:val=""/>
      <w:lvlJc w:val="left"/>
      <w:pPr>
        <w:ind w:left="720" w:hanging="360"/>
      </w:pPr>
      <w:rPr>
        <w:rFonts w:ascii="Symbol" w:hAnsi="Symbol" w:hint="default"/>
      </w:rPr>
    </w:lvl>
    <w:lvl w:ilvl="1" w:tplc="8256846E">
      <w:start w:val="2"/>
      <w:numFmt w:val="bullet"/>
      <w:lvlText w:val="-"/>
      <w:lvlJc w:val="left"/>
      <w:pPr>
        <w:ind w:left="1440" w:hanging="360"/>
      </w:pPr>
      <w:rPr>
        <w:rFonts w:ascii="Renault Group" w:eastAsiaTheme="minorHAnsi" w:hAnsi="Renault Group"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4A375E"/>
    <w:multiLevelType w:val="hybridMultilevel"/>
    <w:tmpl w:val="7C7E5996"/>
    <w:lvl w:ilvl="0" w:tplc="4D088B48">
      <w:start w:val="1"/>
      <w:numFmt w:val="bullet"/>
      <w:lvlText w:val="•"/>
      <w:lvlJc w:val="left"/>
      <w:pPr>
        <w:tabs>
          <w:tab w:val="num" w:pos="720"/>
        </w:tabs>
        <w:ind w:left="720" w:hanging="360"/>
      </w:pPr>
      <w:rPr>
        <w:rFonts w:ascii="Arial" w:hAnsi="Arial" w:hint="default"/>
      </w:rPr>
    </w:lvl>
    <w:lvl w:ilvl="1" w:tplc="AA142E52" w:tentative="1">
      <w:start w:val="1"/>
      <w:numFmt w:val="bullet"/>
      <w:lvlText w:val="•"/>
      <w:lvlJc w:val="left"/>
      <w:pPr>
        <w:tabs>
          <w:tab w:val="num" w:pos="1440"/>
        </w:tabs>
        <w:ind w:left="1440" w:hanging="360"/>
      </w:pPr>
      <w:rPr>
        <w:rFonts w:ascii="Arial" w:hAnsi="Arial" w:hint="default"/>
      </w:rPr>
    </w:lvl>
    <w:lvl w:ilvl="2" w:tplc="4E8A6CA8" w:tentative="1">
      <w:start w:val="1"/>
      <w:numFmt w:val="bullet"/>
      <w:lvlText w:val="•"/>
      <w:lvlJc w:val="left"/>
      <w:pPr>
        <w:tabs>
          <w:tab w:val="num" w:pos="2160"/>
        </w:tabs>
        <w:ind w:left="2160" w:hanging="360"/>
      </w:pPr>
      <w:rPr>
        <w:rFonts w:ascii="Arial" w:hAnsi="Arial" w:hint="default"/>
      </w:rPr>
    </w:lvl>
    <w:lvl w:ilvl="3" w:tplc="DF707BF4" w:tentative="1">
      <w:start w:val="1"/>
      <w:numFmt w:val="bullet"/>
      <w:lvlText w:val="•"/>
      <w:lvlJc w:val="left"/>
      <w:pPr>
        <w:tabs>
          <w:tab w:val="num" w:pos="2880"/>
        </w:tabs>
        <w:ind w:left="2880" w:hanging="360"/>
      </w:pPr>
      <w:rPr>
        <w:rFonts w:ascii="Arial" w:hAnsi="Arial" w:hint="default"/>
      </w:rPr>
    </w:lvl>
    <w:lvl w:ilvl="4" w:tplc="B4D03CFE" w:tentative="1">
      <w:start w:val="1"/>
      <w:numFmt w:val="bullet"/>
      <w:lvlText w:val="•"/>
      <w:lvlJc w:val="left"/>
      <w:pPr>
        <w:tabs>
          <w:tab w:val="num" w:pos="3600"/>
        </w:tabs>
        <w:ind w:left="3600" w:hanging="360"/>
      </w:pPr>
      <w:rPr>
        <w:rFonts w:ascii="Arial" w:hAnsi="Arial" w:hint="default"/>
      </w:rPr>
    </w:lvl>
    <w:lvl w:ilvl="5" w:tplc="6FD6C3B8" w:tentative="1">
      <w:start w:val="1"/>
      <w:numFmt w:val="bullet"/>
      <w:lvlText w:val="•"/>
      <w:lvlJc w:val="left"/>
      <w:pPr>
        <w:tabs>
          <w:tab w:val="num" w:pos="4320"/>
        </w:tabs>
        <w:ind w:left="4320" w:hanging="360"/>
      </w:pPr>
      <w:rPr>
        <w:rFonts w:ascii="Arial" w:hAnsi="Arial" w:hint="default"/>
      </w:rPr>
    </w:lvl>
    <w:lvl w:ilvl="6" w:tplc="1B8E9D36" w:tentative="1">
      <w:start w:val="1"/>
      <w:numFmt w:val="bullet"/>
      <w:lvlText w:val="•"/>
      <w:lvlJc w:val="left"/>
      <w:pPr>
        <w:tabs>
          <w:tab w:val="num" w:pos="5040"/>
        </w:tabs>
        <w:ind w:left="5040" w:hanging="360"/>
      </w:pPr>
      <w:rPr>
        <w:rFonts w:ascii="Arial" w:hAnsi="Arial" w:hint="default"/>
      </w:rPr>
    </w:lvl>
    <w:lvl w:ilvl="7" w:tplc="98322086">
      <w:start w:val="1"/>
      <w:numFmt w:val="bullet"/>
      <w:lvlText w:val="•"/>
      <w:lvlJc w:val="left"/>
      <w:pPr>
        <w:tabs>
          <w:tab w:val="num" w:pos="5760"/>
        </w:tabs>
        <w:ind w:left="5760" w:hanging="360"/>
      </w:pPr>
      <w:rPr>
        <w:rFonts w:ascii="Arial" w:hAnsi="Arial" w:hint="default"/>
      </w:rPr>
    </w:lvl>
    <w:lvl w:ilvl="8" w:tplc="0734D23E">
      <w:numFmt w:val="bullet"/>
      <w:lvlText w:val="•"/>
      <w:lvlJc w:val="left"/>
      <w:pPr>
        <w:tabs>
          <w:tab w:val="num" w:pos="6480"/>
        </w:tabs>
        <w:ind w:left="6480" w:hanging="360"/>
      </w:pPr>
      <w:rPr>
        <w:rFonts w:ascii="Arial" w:hAnsi="Arial" w:hint="default"/>
      </w:rPr>
    </w:lvl>
  </w:abstractNum>
  <w:abstractNum w:abstractNumId="27" w15:restartNumberingAfterBreak="0">
    <w:nsid w:val="558170D6"/>
    <w:multiLevelType w:val="hybridMultilevel"/>
    <w:tmpl w:val="FF3C54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215861"/>
    <w:multiLevelType w:val="hybridMultilevel"/>
    <w:tmpl w:val="E44257C0"/>
    <w:lvl w:ilvl="0" w:tplc="7A3CD466">
      <w:numFmt w:val="bullet"/>
      <w:lvlText w:val="-"/>
      <w:lvlJc w:val="left"/>
      <w:pPr>
        <w:ind w:left="2484" w:hanging="360"/>
      </w:pPr>
      <w:rPr>
        <w:rFonts w:ascii="Renault Group" w:eastAsiaTheme="minorHAnsi" w:hAnsi="Renault Group"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9" w15:restartNumberingAfterBreak="0">
    <w:nsid w:val="5DF3710C"/>
    <w:multiLevelType w:val="hybridMultilevel"/>
    <w:tmpl w:val="50621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01B97"/>
    <w:multiLevelType w:val="hybridMultilevel"/>
    <w:tmpl w:val="3D6E2B76"/>
    <w:lvl w:ilvl="0" w:tplc="ACC6C5C0">
      <w:start w:val="1"/>
      <w:numFmt w:val="bullet"/>
      <w:lvlText w:val=""/>
      <w:lvlJc w:val="left"/>
      <w:pPr>
        <w:tabs>
          <w:tab w:val="num" w:pos="720"/>
        </w:tabs>
        <w:ind w:left="720" w:hanging="360"/>
      </w:pPr>
      <w:rPr>
        <w:rFonts w:ascii="Wingdings" w:hAnsi="Wingdings" w:hint="default"/>
      </w:rPr>
    </w:lvl>
    <w:lvl w:ilvl="1" w:tplc="F8B6071C" w:tentative="1">
      <w:start w:val="1"/>
      <w:numFmt w:val="bullet"/>
      <w:lvlText w:val=""/>
      <w:lvlJc w:val="left"/>
      <w:pPr>
        <w:tabs>
          <w:tab w:val="num" w:pos="1440"/>
        </w:tabs>
        <w:ind w:left="1440" w:hanging="360"/>
      </w:pPr>
      <w:rPr>
        <w:rFonts w:ascii="Wingdings" w:hAnsi="Wingdings" w:hint="default"/>
      </w:rPr>
    </w:lvl>
    <w:lvl w:ilvl="2" w:tplc="27FAF018" w:tentative="1">
      <w:start w:val="1"/>
      <w:numFmt w:val="bullet"/>
      <w:lvlText w:val=""/>
      <w:lvlJc w:val="left"/>
      <w:pPr>
        <w:tabs>
          <w:tab w:val="num" w:pos="2160"/>
        </w:tabs>
        <w:ind w:left="2160" w:hanging="360"/>
      </w:pPr>
      <w:rPr>
        <w:rFonts w:ascii="Wingdings" w:hAnsi="Wingdings" w:hint="default"/>
      </w:rPr>
    </w:lvl>
    <w:lvl w:ilvl="3" w:tplc="4BE4DB58" w:tentative="1">
      <w:start w:val="1"/>
      <w:numFmt w:val="bullet"/>
      <w:lvlText w:val=""/>
      <w:lvlJc w:val="left"/>
      <w:pPr>
        <w:tabs>
          <w:tab w:val="num" w:pos="2880"/>
        </w:tabs>
        <w:ind w:left="2880" w:hanging="360"/>
      </w:pPr>
      <w:rPr>
        <w:rFonts w:ascii="Wingdings" w:hAnsi="Wingdings" w:hint="default"/>
      </w:rPr>
    </w:lvl>
    <w:lvl w:ilvl="4" w:tplc="6E7E2F66" w:tentative="1">
      <w:start w:val="1"/>
      <w:numFmt w:val="bullet"/>
      <w:lvlText w:val=""/>
      <w:lvlJc w:val="left"/>
      <w:pPr>
        <w:tabs>
          <w:tab w:val="num" w:pos="3600"/>
        </w:tabs>
        <w:ind w:left="3600" w:hanging="360"/>
      </w:pPr>
      <w:rPr>
        <w:rFonts w:ascii="Wingdings" w:hAnsi="Wingdings" w:hint="default"/>
      </w:rPr>
    </w:lvl>
    <w:lvl w:ilvl="5" w:tplc="D0A27D10" w:tentative="1">
      <w:start w:val="1"/>
      <w:numFmt w:val="bullet"/>
      <w:lvlText w:val=""/>
      <w:lvlJc w:val="left"/>
      <w:pPr>
        <w:tabs>
          <w:tab w:val="num" w:pos="4320"/>
        </w:tabs>
        <w:ind w:left="4320" w:hanging="360"/>
      </w:pPr>
      <w:rPr>
        <w:rFonts w:ascii="Wingdings" w:hAnsi="Wingdings" w:hint="default"/>
      </w:rPr>
    </w:lvl>
    <w:lvl w:ilvl="6" w:tplc="72B64E8E" w:tentative="1">
      <w:start w:val="1"/>
      <w:numFmt w:val="bullet"/>
      <w:lvlText w:val=""/>
      <w:lvlJc w:val="left"/>
      <w:pPr>
        <w:tabs>
          <w:tab w:val="num" w:pos="5040"/>
        </w:tabs>
        <w:ind w:left="5040" w:hanging="360"/>
      </w:pPr>
      <w:rPr>
        <w:rFonts w:ascii="Wingdings" w:hAnsi="Wingdings" w:hint="default"/>
      </w:rPr>
    </w:lvl>
    <w:lvl w:ilvl="7" w:tplc="209AFA8C" w:tentative="1">
      <w:start w:val="1"/>
      <w:numFmt w:val="bullet"/>
      <w:lvlText w:val=""/>
      <w:lvlJc w:val="left"/>
      <w:pPr>
        <w:tabs>
          <w:tab w:val="num" w:pos="5760"/>
        </w:tabs>
        <w:ind w:left="5760" w:hanging="360"/>
      </w:pPr>
      <w:rPr>
        <w:rFonts w:ascii="Wingdings" w:hAnsi="Wingdings" w:hint="default"/>
      </w:rPr>
    </w:lvl>
    <w:lvl w:ilvl="8" w:tplc="71A402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E4A57"/>
    <w:multiLevelType w:val="multilevel"/>
    <w:tmpl w:val="438A7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A00478A"/>
    <w:multiLevelType w:val="hybridMultilevel"/>
    <w:tmpl w:val="B0066F74"/>
    <w:lvl w:ilvl="0" w:tplc="167E47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080D6B"/>
    <w:multiLevelType w:val="multilevel"/>
    <w:tmpl w:val="D3E2FB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6" w15:restartNumberingAfterBreak="0">
    <w:nsid w:val="6F8F1C48"/>
    <w:multiLevelType w:val="hybridMultilevel"/>
    <w:tmpl w:val="396AF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BE2602"/>
    <w:multiLevelType w:val="hybridMultilevel"/>
    <w:tmpl w:val="C2E6AB8C"/>
    <w:lvl w:ilvl="0" w:tplc="C652F224">
      <w:start w:val="10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06760A2"/>
    <w:multiLevelType w:val="hybridMultilevel"/>
    <w:tmpl w:val="55481E48"/>
    <w:lvl w:ilvl="0" w:tplc="6BBC6A7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63C"/>
    <w:multiLevelType w:val="hybridMultilevel"/>
    <w:tmpl w:val="9EACAC76"/>
    <w:lvl w:ilvl="0" w:tplc="C9EE5448">
      <w:start w:val="2"/>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04DD1"/>
    <w:multiLevelType w:val="hybridMultilevel"/>
    <w:tmpl w:val="32101274"/>
    <w:lvl w:ilvl="0" w:tplc="97ECAE5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DF7CC1"/>
    <w:multiLevelType w:val="multilevel"/>
    <w:tmpl w:val="DD9E89AA"/>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bullet"/>
      <w:lvlText w:val=""/>
      <w:lvlJc w:val="left"/>
      <w:pPr>
        <w:ind w:left="1080" w:hanging="360"/>
      </w:pPr>
      <w:rPr>
        <w:rFonts w:ascii="Symbol" w:hAnsi="Symbol" w:hint="default"/>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31"/>
  </w:num>
  <w:num w:numId="13">
    <w:abstractNumId w:val="30"/>
  </w:num>
  <w:num w:numId="14">
    <w:abstractNumId w:val="40"/>
  </w:num>
  <w:num w:numId="15">
    <w:abstractNumId w:val="42"/>
  </w:num>
  <w:num w:numId="16">
    <w:abstractNumId w:val="11"/>
  </w:num>
  <w:num w:numId="17">
    <w:abstractNumId w:val="19"/>
  </w:num>
  <w:num w:numId="18">
    <w:abstractNumId w:val="17"/>
  </w:num>
  <w:num w:numId="19">
    <w:abstractNumId w:val="10"/>
  </w:num>
  <w:num w:numId="20">
    <w:abstractNumId w:val="26"/>
  </w:num>
  <w:num w:numId="21">
    <w:abstractNumId w:val="18"/>
  </w:num>
  <w:num w:numId="22">
    <w:abstractNumId w:val="12"/>
  </w:num>
  <w:num w:numId="23">
    <w:abstractNumId w:val="27"/>
  </w:num>
  <w:num w:numId="24">
    <w:abstractNumId w:val="13"/>
  </w:num>
  <w:num w:numId="25">
    <w:abstractNumId w:val="23"/>
  </w:num>
  <w:num w:numId="26">
    <w:abstractNumId w:val="28"/>
  </w:num>
  <w:num w:numId="27">
    <w:abstractNumId w:val="20"/>
  </w:num>
  <w:num w:numId="28">
    <w:abstractNumId w:val="21"/>
  </w:num>
  <w:num w:numId="29">
    <w:abstractNumId w:val="14"/>
  </w:num>
  <w:num w:numId="30">
    <w:abstractNumId w:val="22"/>
  </w:num>
  <w:num w:numId="31">
    <w:abstractNumId w:val="15"/>
  </w:num>
  <w:num w:numId="32">
    <w:abstractNumId w:val="41"/>
  </w:num>
  <w:num w:numId="33">
    <w:abstractNumId w:val="32"/>
  </w:num>
  <w:num w:numId="34">
    <w:abstractNumId w:val="24"/>
  </w:num>
  <w:num w:numId="35">
    <w:abstractNumId w:val="16"/>
  </w:num>
  <w:num w:numId="36">
    <w:abstractNumId w:val="38"/>
  </w:num>
  <w:num w:numId="37">
    <w:abstractNumId w:val="37"/>
  </w:num>
  <w:num w:numId="38">
    <w:abstractNumId w:val="37"/>
  </w:num>
  <w:num w:numId="39">
    <w:abstractNumId w:val="29"/>
  </w:num>
  <w:num w:numId="40">
    <w:abstractNumId w:val="33"/>
  </w:num>
  <w:num w:numId="41">
    <w:abstractNumId w:val="35"/>
  </w:num>
  <w:num w:numId="42">
    <w:abstractNumId w:val="25"/>
  </w:num>
  <w:num w:numId="43">
    <w:abstractNumId w:val="36"/>
  </w:num>
  <w:num w:numId="44">
    <w:abstractNumId w:val="39"/>
  </w:num>
  <w:num w:numId="45">
    <w:abstractNumId w:val="34"/>
  </w:num>
  <w:num w:numId="46">
    <w:abstractNumId w:val="43"/>
  </w:num>
  <w:num w:numId="47">
    <w:abstractNumId w:val="4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0DD0"/>
    <w:rsid w:val="000016C9"/>
    <w:rsid w:val="00001850"/>
    <w:rsid w:val="00002E1C"/>
    <w:rsid w:val="00003895"/>
    <w:rsid w:val="00003EB0"/>
    <w:rsid w:val="000064B0"/>
    <w:rsid w:val="00006B74"/>
    <w:rsid w:val="00006E88"/>
    <w:rsid w:val="00006F5A"/>
    <w:rsid w:val="00007679"/>
    <w:rsid w:val="00011E1C"/>
    <w:rsid w:val="00012BA1"/>
    <w:rsid w:val="00012F65"/>
    <w:rsid w:val="00013B12"/>
    <w:rsid w:val="0001589A"/>
    <w:rsid w:val="00016E35"/>
    <w:rsid w:val="00022005"/>
    <w:rsid w:val="00022650"/>
    <w:rsid w:val="000226E0"/>
    <w:rsid w:val="00022E3B"/>
    <w:rsid w:val="000245EC"/>
    <w:rsid w:val="0002683C"/>
    <w:rsid w:val="00027AF7"/>
    <w:rsid w:val="00030322"/>
    <w:rsid w:val="0003110D"/>
    <w:rsid w:val="00031BCF"/>
    <w:rsid w:val="00031C67"/>
    <w:rsid w:val="00032384"/>
    <w:rsid w:val="00033168"/>
    <w:rsid w:val="0003513E"/>
    <w:rsid w:val="00037E3A"/>
    <w:rsid w:val="00037F96"/>
    <w:rsid w:val="00040D7C"/>
    <w:rsid w:val="00043073"/>
    <w:rsid w:val="00043D63"/>
    <w:rsid w:val="00044CEE"/>
    <w:rsid w:val="000460BA"/>
    <w:rsid w:val="00046106"/>
    <w:rsid w:val="00046A02"/>
    <w:rsid w:val="00046A4F"/>
    <w:rsid w:val="0005018E"/>
    <w:rsid w:val="000501F2"/>
    <w:rsid w:val="00051534"/>
    <w:rsid w:val="00053318"/>
    <w:rsid w:val="000553F5"/>
    <w:rsid w:val="00056880"/>
    <w:rsid w:val="0005767E"/>
    <w:rsid w:val="00057DD0"/>
    <w:rsid w:val="00062D34"/>
    <w:rsid w:val="000645AA"/>
    <w:rsid w:val="00065CA2"/>
    <w:rsid w:val="00066BA7"/>
    <w:rsid w:val="00067B9A"/>
    <w:rsid w:val="0007087D"/>
    <w:rsid w:val="0007139B"/>
    <w:rsid w:val="00073072"/>
    <w:rsid w:val="00073529"/>
    <w:rsid w:val="000746F7"/>
    <w:rsid w:val="00075B34"/>
    <w:rsid w:val="0007799D"/>
    <w:rsid w:val="00080097"/>
    <w:rsid w:val="000811CB"/>
    <w:rsid w:val="00081C55"/>
    <w:rsid w:val="0008233B"/>
    <w:rsid w:val="00082AA2"/>
    <w:rsid w:val="00083FCC"/>
    <w:rsid w:val="00084323"/>
    <w:rsid w:val="00085808"/>
    <w:rsid w:val="00086A04"/>
    <w:rsid w:val="00086D9D"/>
    <w:rsid w:val="00087566"/>
    <w:rsid w:val="00087AAA"/>
    <w:rsid w:val="00087D3B"/>
    <w:rsid w:val="000914E8"/>
    <w:rsid w:val="00091F8C"/>
    <w:rsid w:val="0009237D"/>
    <w:rsid w:val="00092B80"/>
    <w:rsid w:val="00096938"/>
    <w:rsid w:val="00096F09"/>
    <w:rsid w:val="00097A5A"/>
    <w:rsid w:val="000A099E"/>
    <w:rsid w:val="000A21E3"/>
    <w:rsid w:val="000A28C7"/>
    <w:rsid w:val="000A29E1"/>
    <w:rsid w:val="000A38DE"/>
    <w:rsid w:val="000A3DDC"/>
    <w:rsid w:val="000A42A8"/>
    <w:rsid w:val="000A50DB"/>
    <w:rsid w:val="000A5FC5"/>
    <w:rsid w:val="000A6237"/>
    <w:rsid w:val="000A6BC8"/>
    <w:rsid w:val="000B1FF6"/>
    <w:rsid w:val="000B27AB"/>
    <w:rsid w:val="000B349B"/>
    <w:rsid w:val="000B6304"/>
    <w:rsid w:val="000C1633"/>
    <w:rsid w:val="000C321F"/>
    <w:rsid w:val="000C3601"/>
    <w:rsid w:val="000C4702"/>
    <w:rsid w:val="000C5903"/>
    <w:rsid w:val="000C6F42"/>
    <w:rsid w:val="000D0F33"/>
    <w:rsid w:val="000D1AE4"/>
    <w:rsid w:val="000D2815"/>
    <w:rsid w:val="000D2E36"/>
    <w:rsid w:val="000D38EA"/>
    <w:rsid w:val="000D409C"/>
    <w:rsid w:val="000D4C36"/>
    <w:rsid w:val="000D7435"/>
    <w:rsid w:val="000E10BA"/>
    <w:rsid w:val="000E4ED9"/>
    <w:rsid w:val="000F143D"/>
    <w:rsid w:val="000F3BC0"/>
    <w:rsid w:val="000F74DC"/>
    <w:rsid w:val="000F7DA6"/>
    <w:rsid w:val="00101CE5"/>
    <w:rsid w:val="00102011"/>
    <w:rsid w:val="0010223A"/>
    <w:rsid w:val="0010289A"/>
    <w:rsid w:val="001036CD"/>
    <w:rsid w:val="0010528F"/>
    <w:rsid w:val="00106179"/>
    <w:rsid w:val="00106B90"/>
    <w:rsid w:val="00107967"/>
    <w:rsid w:val="00110C41"/>
    <w:rsid w:val="00112EC6"/>
    <w:rsid w:val="00113708"/>
    <w:rsid w:val="00113A11"/>
    <w:rsid w:val="0011410B"/>
    <w:rsid w:val="00115088"/>
    <w:rsid w:val="001209EC"/>
    <w:rsid w:val="001211EE"/>
    <w:rsid w:val="00121530"/>
    <w:rsid w:val="001229F2"/>
    <w:rsid w:val="001230D0"/>
    <w:rsid w:val="00123AB8"/>
    <w:rsid w:val="00124D43"/>
    <w:rsid w:val="001312A8"/>
    <w:rsid w:val="0013162D"/>
    <w:rsid w:val="001317DB"/>
    <w:rsid w:val="00133A1A"/>
    <w:rsid w:val="00133E32"/>
    <w:rsid w:val="0013470C"/>
    <w:rsid w:val="001354D2"/>
    <w:rsid w:val="00135A33"/>
    <w:rsid w:val="00135A7E"/>
    <w:rsid w:val="00137527"/>
    <w:rsid w:val="00140851"/>
    <w:rsid w:val="00141676"/>
    <w:rsid w:val="001419A9"/>
    <w:rsid w:val="00142FC5"/>
    <w:rsid w:val="00145CAE"/>
    <w:rsid w:val="0014640D"/>
    <w:rsid w:val="0014675F"/>
    <w:rsid w:val="001503F3"/>
    <w:rsid w:val="0015181B"/>
    <w:rsid w:val="00152076"/>
    <w:rsid w:val="0015213E"/>
    <w:rsid w:val="00156736"/>
    <w:rsid w:val="00157D5D"/>
    <w:rsid w:val="00160333"/>
    <w:rsid w:val="001605D8"/>
    <w:rsid w:val="00162643"/>
    <w:rsid w:val="00163F9A"/>
    <w:rsid w:val="001642DE"/>
    <w:rsid w:val="001660F9"/>
    <w:rsid w:val="00167BE6"/>
    <w:rsid w:val="00167E91"/>
    <w:rsid w:val="001706EE"/>
    <w:rsid w:val="00170D64"/>
    <w:rsid w:val="00171743"/>
    <w:rsid w:val="00172806"/>
    <w:rsid w:val="00173783"/>
    <w:rsid w:val="001753C9"/>
    <w:rsid w:val="0017549E"/>
    <w:rsid w:val="001772B8"/>
    <w:rsid w:val="00177D38"/>
    <w:rsid w:val="0018020B"/>
    <w:rsid w:val="00181180"/>
    <w:rsid w:val="001814C1"/>
    <w:rsid w:val="00181A0A"/>
    <w:rsid w:val="00181C8C"/>
    <w:rsid w:val="0018219C"/>
    <w:rsid w:val="00183F01"/>
    <w:rsid w:val="00184B7D"/>
    <w:rsid w:val="00184DEF"/>
    <w:rsid w:val="00184ECB"/>
    <w:rsid w:val="00190CF5"/>
    <w:rsid w:val="001915F8"/>
    <w:rsid w:val="00192562"/>
    <w:rsid w:val="00193220"/>
    <w:rsid w:val="0019368C"/>
    <w:rsid w:val="00196BDC"/>
    <w:rsid w:val="001972CC"/>
    <w:rsid w:val="001A1302"/>
    <w:rsid w:val="001A1659"/>
    <w:rsid w:val="001A1C3B"/>
    <w:rsid w:val="001A1E33"/>
    <w:rsid w:val="001A27AD"/>
    <w:rsid w:val="001A2825"/>
    <w:rsid w:val="001A2AC0"/>
    <w:rsid w:val="001A2D3B"/>
    <w:rsid w:val="001A69B4"/>
    <w:rsid w:val="001B107D"/>
    <w:rsid w:val="001B4A3D"/>
    <w:rsid w:val="001B5151"/>
    <w:rsid w:val="001B575F"/>
    <w:rsid w:val="001B591C"/>
    <w:rsid w:val="001B69D4"/>
    <w:rsid w:val="001B6C27"/>
    <w:rsid w:val="001B6CA6"/>
    <w:rsid w:val="001B70B4"/>
    <w:rsid w:val="001B7F63"/>
    <w:rsid w:val="001C20D5"/>
    <w:rsid w:val="001C26A2"/>
    <w:rsid w:val="001C3067"/>
    <w:rsid w:val="001C45EC"/>
    <w:rsid w:val="001C4B21"/>
    <w:rsid w:val="001C5182"/>
    <w:rsid w:val="001C60C8"/>
    <w:rsid w:val="001C6F48"/>
    <w:rsid w:val="001C793B"/>
    <w:rsid w:val="001D094E"/>
    <w:rsid w:val="001D16D4"/>
    <w:rsid w:val="001D3094"/>
    <w:rsid w:val="001D5B59"/>
    <w:rsid w:val="001D5B62"/>
    <w:rsid w:val="001D6C2F"/>
    <w:rsid w:val="001D736E"/>
    <w:rsid w:val="001E13D2"/>
    <w:rsid w:val="001E193C"/>
    <w:rsid w:val="001E1CD5"/>
    <w:rsid w:val="001E3066"/>
    <w:rsid w:val="001E3DDE"/>
    <w:rsid w:val="001E62FE"/>
    <w:rsid w:val="001F0370"/>
    <w:rsid w:val="001F05FE"/>
    <w:rsid w:val="001F0715"/>
    <w:rsid w:val="001F1509"/>
    <w:rsid w:val="001F20D4"/>
    <w:rsid w:val="001F212A"/>
    <w:rsid w:val="001F6F90"/>
    <w:rsid w:val="00202266"/>
    <w:rsid w:val="002022F8"/>
    <w:rsid w:val="00202CAE"/>
    <w:rsid w:val="00202F64"/>
    <w:rsid w:val="0020767A"/>
    <w:rsid w:val="00210A1F"/>
    <w:rsid w:val="002119B4"/>
    <w:rsid w:val="00212E58"/>
    <w:rsid w:val="00213D62"/>
    <w:rsid w:val="0021502C"/>
    <w:rsid w:val="00215B26"/>
    <w:rsid w:val="00217722"/>
    <w:rsid w:val="00220720"/>
    <w:rsid w:val="002209DE"/>
    <w:rsid w:val="0022159C"/>
    <w:rsid w:val="00221E91"/>
    <w:rsid w:val="002220E8"/>
    <w:rsid w:val="00222942"/>
    <w:rsid w:val="002266F7"/>
    <w:rsid w:val="00230D3B"/>
    <w:rsid w:val="00233353"/>
    <w:rsid w:val="00233EF9"/>
    <w:rsid w:val="002342EC"/>
    <w:rsid w:val="00234879"/>
    <w:rsid w:val="002350A2"/>
    <w:rsid w:val="00235ADF"/>
    <w:rsid w:val="00236E77"/>
    <w:rsid w:val="002401A8"/>
    <w:rsid w:val="002410EB"/>
    <w:rsid w:val="00241200"/>
    <w:rsid w:val="00241D17"/>
    <w:rsid w:val="0024241E"/>
    <w:rsid w:val="002429EE"/>
    <w:rsid w:val="00244B5E"/>
    <w:rsid w:val="002453E0"/>
    <w:rsid w:val="00246342"/>
    <w:rsid w:val="002464F4"/>
    <w:rsid w:val="00246930"/>
    <w:rsid w:val="0025291C"/>
    <w:rsid w:val="002531C3"/>
    <w:rsid w:val="002542F9"/>
    <w:rsid w:val="00254828"/>
    <w:rsid w:val="0025509D"/>
    <w:rsid w:val="00256B8B"/>
    <w:rsid w:val="00260D0E"/>
    <w:rsid w:val="00270D36"/>
    <w:rsid w:val="00270ECC"/>
    <w:rsid w:val="00271F59"/>
    <w:rsid w:val="0027607F"/>
    <w:rsid w:val="00277039"/>
    <w:rsid w:val="002815EF"/>
    <w:rsid w:val="00281FE9"/>
    <w:rsid w:val="00282648"/>
    <w:rsid w:val="002836DD"/>
    <w:rsid w:val="00286538"/>
    <w:rsid w:val="00291C74"/>
    <w:rsid w:val="00291EF1"/>
    <w:rsid w:val="00292604"/>
    <w:rsid w:val="00293E0C"/>
    <w:rsid w:val="002963FE"/>
    <w:rsid w:val="002A0372"/>
    <w:rsid w:val="002A12EF"/>
    <w:rsid w:val="002A1B12"/>
    <w:rsid w:val="002A1BB1"/>
    <w:rsid w:val="002A2B23"/>
    <w:rsid w:val="002A45DD"/>
    <w:rsid w:val="002A6302"/>
    <w:rsid w:val="002A76EE"/>
    <w:rsid w:val="002B04CF"/>
    <w:rsid w:val="002B0F85"/>
    <w:rsid w:val="002B4112"/>
    <w:rsid w:val="002B4A63"/>
    <w:rsid w:val="002B4F54"/>
    <w:rsid w:val="002B5221"/>
    <w:rsid w:val="002B5984"/>
    <w:rsid w:val="002B5FDD"/>
    <w:rsid w:val="002B7303"/>
    <w:rsid w:val="002B7340"/>
    <w:rsid w:val="002C3684"/>
    <w:rsid w:val="002C4971"/>
    <w:rsid w:val="002C508D"/>
    <w:rsid w:val="002C5B84"/>
    <w:rsid w:val="002C625C"/>
    <w:rsid w:val="002C7B01"/>
    <w:rsid w:val="002D0DBF"/>
    <w:rsid w:val="002D265A"/>
    <w:rsid w:val="002D32FF"/>
    <w:rsid w:val="002D3B96"/>
    <w:rsid w:val="002D4231"/>
    <w:rsid w:val="002D646F"/>
    <w:rsid w:val="002D66E5"/>
    <w:rsid w:val="002D6CB0"/>
    <w:rsid w:val="002E25F5"/>
    <w:rsid w:val="002E290D"/>
    <w:rsid w:val="002E2E49"/>
    <w:rsid w:val="002E48FC"/>
    <w:rsid w:val="002E5087"/>
    <w:rsid w:val="002E6019"/>
    <w:rsid w:val="002E6153"/>
    <w:rsid w:val="002F1E5F"/>
    <w:rsid w:val="002F20B7"/>
    <w:rsid w:val="002F32D0"/>
    <w:rsid w:val="002F386C"/>
    <w:rsid w:val="002F6604"/>
    <w:rsid w:val="002F7A5E"/>
    <w:rsid w:val="0030025B"/>
    <w:rsid w:val="0030297F"/>
    <w:rsid w:val="00302BB9"/>
    <w:rsid w:val="00303D02"/>
    <w:rsid w:val="00304C3D"/>
    <w:rsid w:val="00305585"/>
    <w:rsid w:val="00307A6A"/>
    <w:rsid w:val="00310BD6"/>
    <w:rsid w:val="00310C1B"/>
    <w:rsid w:val="00311709"/>
    <w:rsid w:val="0031396D"/>
    <w:rsid w:val="00314DC9"/>
    <w:rsid w:val="00315D06"/>
    <w:rsid w:val="00320B4E"/>
    <w:rsid w:val="00322565"/>
    <w:rsid w:val="00322635"/>
    <w:rsid w:val="003227AE"/>
    <w:rsid w:val="00322ABB"/>
    <w:rsid w:val="00322D61"/>
    <w:rsid w:val="00323F42"/>
    <w:rsid w:val="00324B0D"/>
    <w:rsid w:val="00324F5D"/>
    <w:rsid w:val="00325831"/>
    <w:rsid w:val="00325F79"/>
    <w:rsid w:val="00327B9A"/>
    <w:rsid w:val="00332677"/>
    <w:rsid w:val="00332BFD"/>
    <w:rsid w:val="00333020"/>
    <w:rsid w:val="00333049"/>
    <w:rsid w:val="0033314F"/>
    <w:rsid w:val="00334F4F"/>
    <w:rsid w:val="003356AC"/>
    <w:rsid w:val="00335A54"/>
    <w:rsid w:val="00340434"/>
    <w:rsid w:val="00340499"/>
    <w:rsid w:val="0034053C"/>
    <w:rsid w:val="003410F1"/>
    <w:rsid w:val="00341307"/>
    <w:rsid w:val="00341489"/>
    <w:rsid w:val="00342BD2"/>
    <w:rsid w:val="00342C73"/>
    <w:rsid w:val="00342C80"/>
    <w:rsid w:val="00342D13"/>
    <w:rsid w:val="0034480D"/>
    <w:rsid w:val="00344CE0"/>
    <w:rsid w:val="003455C0"/>
    <w:rsid w:val="00350BE7"/>
    <w:rsid w:val="00350CDF"/>
    <w:rsid w:val="00351C76"/>
    <w:rsid w:val="0035213E"/>
    <w:rsid w:val="00354116"/>
    <w:rsid w:val="00355F58"/>
    <w:rsid w:val="0035604A"/>
    <w:rsid w:val="003566C3"/>
    <w:rsid w:val="00356AAA"/>
    <w:rsid w:val="00357212"/>
    <w:rsid w:val="00357FA2"/>
    <w:rsid w:val="003616BA"/>
    <w:rsid w:val="00361718"/>
    <w:rsid w:val="00361C0A"/>
    <w:rsid w:val="00362D86"/>
    <w:rsid w:val="003632BE"/>
    <w:rsid w:val="003647B3"/>
    <w:rsid w:val="003651B0"/>
    <w:rsid w:val="00366A36"/>
    <w:rsid w:val="00367593"/>
    <w:rsid w:val="0036765E"/>
    <w:rsid w:val="00370175"/>
    <w:rsid w:val="00370891"/>
    <w:rsid w:val="003748B5"/>
    <w:rsid w:val="003755A6"/>
    <w:rsid w:val="003808E5"/>
    <w:rsid w:val="00380D32"/>
    <w:rsid w:val="003836CD"/>
    <w:rsid w:val="003864AD"/>
    <w:rsid w:val="00391442"/>
    <w:rsid w:val="003918EE"/>
    <w:rsid w:val="003920FB"/>
    <w:rsid w:val="00392D9F"/>
    <w:rsid w:val="00394071"/>
    <w:rsid w:val="00394812"/>
    <w:rsid w:val="0039766D"/>
    <w:rsid w:val="00397791"/>
    <w:rsid w:val="003A1145"/>
    <w:rsid w:val="003A1A2D"/>
    <w:rsid w:val="003A25B5"/>
    <w:rsid w:val="003A3DB5"/>
    <w:rsid w:val="003A4290"/>
    <w:rsid w:val="003A76D6"/>
    <w:rsid w:val="003A7751"/>
    <w:rsid w:val="003B1BA7"/>
    <w:rsid w:val="003B366B"/>
    <w:rsid w:val="003B367C"/>
    <w:rsid w:val="003B437A"/>
    <w:rsid w:val="003B5562"/>
    <w:rsid w:val="003B5928"/>
    <w:rsid w:val="003B6B45"/>
    <w:rsid w:val="003C026E"/>
    <w:rsid w:val="003C52AC"/>
    <w:rsid w:val="003C5656"/>
    <w:rsid w:val="003C591F"/>
    <w:rsid w:val="003C6798"/>
    <w:rsid w:val="003C71B6"/>
    <w:rsid w:val="003C77D6"/>
    <w:rsid w:val="003D30BC"/>
    <w:rsid w:val="003D38A0"/>
    <w:rsid w:val="003D3D4C"/>
    <w:rsid w:val="003D446D"/>
    <w:rsid w:val="003D4D16"/>
    <w:rsid w:val="003D58D5"/>
    <w:rsid w:val="003D6782"/>
    <w:rsid w:val="003D6BA5"/>
    <w:rsid w:val="003E00DD"/>
    <w:rsid w:val="003E03B6"/>
    <w:rsid w:val="003E3F13"/>
    <w:rsid w:val="003E68CC"/>
    <w:rsid w:val="003E6BF7"/>
    <w:rsid w:val="003E6C27"/>
    <w:rsid w:val="003E6E90"/>
    <w:rsid w:val="003E720B"/>
    <w:rsid w:val="003E73EB"/>
    <w:rsid w:val="003F0690"/>
    <w:rsid w:val="003F4BEC"/>
    <w:rsid w:val="003F5744"/>
    <w:rsid w:val="003F59B0"/>
    <w:rsid w:val="003F7765"/>
    <w:rsid w:val="00400466"/>
    <w:rsid w:val="004022B4"/>
    <w:rsid w:val="00402346"/>
    <w:rsid w:val="0040485D"/>
    <w:rsid w:val="00404FBC"/>
    <w:rsid w:val="004065F0"/>
    <w:rsid w:val="004074BF"/>
    <w:rsid w:val="00411FA2"/>
    <w:rsid w:val="004155DB"/>
    <w:rsid w:val="0041571E"/>
    <w:rsid w:val="00415743"/>
    <w:rsid w:val="00417BC2"/>
    <w:rsid w:val="00422811"/>
    <w:rsid w:val="00422C5C"/>
    <w:rsid w:val="004240E5"/>
    <w:rsid w:val="00424134"/>
    <w:rsid w:val="00425677"/>
    <w:rsid w:val="00425EFF"/>
    <w:rsid w:val="00430107"/>
    <w:rsid w:val="004303C6"/>
    <w:rsid w:val="0043389E"/>
    <w:rsid w:val="00433EDD"/>
    <w:rsid w:val="00434302"/>
    <w:rsid w:val="004352F3"/>
    <w:rsid w:val="0043575F"/>
    <w:rsid w:val="00435A90"/>
    <w:rsid w:val="00435C9E"/>
    <w:rsid w:val="00440622"/>
    <w:rsid w:val="004420FB"/>
    <w:rsid w:val="0044219E"/>
    <w:rsid w:val="00444B31"/>
    <w:rsid w:val="00444E90"/>
    <w:rsid w:val="00444F2A"/>
    <w:rsid w:val="00444FE6"/>
    <w:rsid w:val="00445BF1"/>
    <w:rsid w:val="004511AA"/>
    <w:rsid w:val="0045178A"/>
    <w:rsid w:val="0045216F"/>
    <w:rsid w:val="00452A52"/>
    <w:rsid w:val="00453E9E"/>
    <w:rsid w:val="00455052"/>
    <w:rsid w:val="004556F3"/>
    <w:rsid w:val="004566FC"/>
    <w:rsid w:val="004579F4"/>
    <w:rsid w:val="00457B13"/>
    <w:rsid w:val="00460D78"/>
    <w:rsid w:val="0046176B"/>
    <w:rsid w:val="0046357B"/>
    <w:rsid w:val="00464719"/>
    <w:rsid w:val="00465760"/>
    <w:rsid w:val="00466D17"/>
    <w:rsid w:val="00467D88"/>
    <w:rsid w:val="00470AA0"/>
    <w:rsid w:val="00473049"/>
    <w:rsid w:val="004731E9"/>
    <w:rsid w:val="00473737"/>
    <w:rsid w:val="00475688"/>
    <w:rsid w:val="00475B90"/>
    <w:rsid w:val="00476AC6"/>
    <w:rsid w:val="0047765F"/>
    <w:rsid w:val="004778C1"/>
    <w:rsid w:val="0048028B"/>
    <w:rsid w:val="0048051A"/>
    <w:rsid w:val="00480D92"/>
    <w:rsid w:val="0048165C"/>
    <w:rsid w:val="00482A4A"/>
    <w:rsid w:val="00483B48"/>
    <w:rsid w:val="00484411"/>
    <w:rsid w:val="00484ED6"/>
    <w:rsid w:val="00485A74"/>
    <w:rsid w:val="00486792"/>
    <w:rsid w:val="00486C63"/>
    <w:rsid w:val="0049110B"/>
    <w:rsid w:val="004912B2"/>
    <w:rsid w:val="00491326"/>
    <w:rsid w:val="00492A25"/>
    <w:rsid w:val="004962BD"/>
    <w:rsid w:val="00496AE8"/>
    <w:rsid w:val="004971E6"/>
    <w:rsid w:val="00497F5B"/>
    <w:rsid w:val="004A1DCA"/>
    <w:rsid w:val="004A2D31"/>
    <w:rsid w:val="004A3183"/>
    <w:rsid w:val="004B0190"/>
    <w:rsid w:val="004B04C9"/>
    <w:rsid w:val="004B54CA"/>
    <w:rsid w:val="004B73C9"/>
    <w:rsid w:val="004B761B"/>
    <w:rsid w:val="004C168E"/>
    <w:rsid w:val="004C17B0"/>
    <w:rsid w:val="004C3561"/>
    <w:rsid w:val="004C3682"/>
    <w:rsid w:val="004C5CB6"/>
    <w:rsid w:val="004C7F9A"/>
    <w:rsid w:val="004D0C46"/>
    <w:rsid w:val="004D0D6E"/>
    <w:rsid w:val="004D2FB2"/>
    <w:rsid w:val="004D42C5"/>
    <w:rsid w:val="004D44DF"/>
    <w:rsid w:val="004D4DF0"/>
    <w:rsid w:val="004D5E55"/>
    <w:rsid w:val="004D6C80"/>
    <w:rsid w:val="004E1C97"/>
    <w:rsid w:val="004E2CA9"/>
    <w:rsid w:val="004E3C1D"/>
    <w:rsid w:val="004E4CAE"/>
    <w:rsid w:val="004E4E40"/>
    <w:rsid w:val="004E5490"/>
    <w:rsid w:val="004E6061"/>
    <w:rsid w:val="004E7AF8"/>
    <w:rsid w:val="004F1803"/>
    <w:rsid w:val="004F19EB"/>
    <w:rsid w:val="004F3B14"/>
    <w:rsid w:val="004F4F4E"/>
    <w:rsid w:val="004F67C7"/>
    <w:rsid w:val="004F7AEC"/>
    <w:rsid w:val="005015E9"/>
    <w:rsid w:val="00503592"/>
    <w:rsid w:val="005038D8"/>
    <w:rsid w:val="00504316"/>
    <w:rsid w:val="00510A01"/>
    <w:rsid w:val="00510E35"/>
    <w:rsid w:val="00510F13"/>
    <w:rsid w:val="005120EB"/>
    <w:rsid w:val="005122C4"/>
    <w:rsid w:val="00512FF5"/>
    <w:rsid w:val="00516BB7"/>
    <w:rsid w:val="005176D9"/>
    <w:rsid w:val="00520E8D"/>
    <w:rsid w:val="00522D37"/>
    <w:rsid w:val="00523D95"/>
    <w:rsid w:val="005261FF"/>
    <w:rsid w:val="005271D0"/>
    <w:rsid w:val="00527347"/>
    <w:rsid w:val="00532116"/>
    <w:rsid w:val="005332ED"/>
    <w:rsid w:val="00533528"/>
    <w:rsid w:val="00533C57"/>
    <w:rsid w:val="00535424"/>
    <w:rsid w:val="00537021"/>
    <w:rsid w:val="005372DE"/>
    <w:rsid w:val="00537DA2"/>
    <w:rsid w:val="0054078A"/>
    <w:rsid w:val="00541ABE"/>
    <w:rsid w:val="00543BA7"/>
    <w:rsid w:val="00544345"/>
    <w:rsid w:val="00544B9F"/>
    <w:rsid w:val="00545DD0"/>
    <w:rsid w:val="005462B1"/>
    <w:rsid w:val="00547C09"/>
    <w:rsid w:val="00547FA8"/>
    <w:rsid w:val="0055015E"/>
    <w:rsid w:val="005518CC"/>
    <w:rsid w:val="00552723"/>
    <w:rsid w:val="00553F4E"/>
    <w:rsid w:val="00554623"/>
    <w:rsid w:val="00555EA9"/>
    <w:rsid w:val="00556CDA"/>
    <w:rsid w:val="00557380"/>
    <w:rsid w:val="00557E02"/>
    <w:rsid w:val="005613AF"/>
    <w:rsid w:val="005628E1"/>
    <w:rsid w:val="00562BD6"/>
    <w:rsid w:val="00563DB4"/>
    <w:rsid w:val="00564862"/>
    <w:rsid w:val="00565E33"/>
    <w:rsid w:val="00566141"/>
    <w:rsid w:val="00566E2E"/>
    <w:rsid w:val="00571C77"/>
    <w:rsid w:val="005732EA"/>
    <w:rsid w:val="00573B9D"/>
    <w:rsid w:val="00573F62"/>
    <w:rsid w:val="005752AE"/>
    <w:rsid w:val="00575730"/>
    <w:rsid w:val="00576917"/>
    <w:rsid w:val="00577B69"/>
    <w:rsid w:val="00577F44"/>
    <w:rsid w:val="00581C16"/>
    <w:rsid w:val="0058204F"/>
    <w:rsid w:val="005827B2"/>
    <w:rsid w:val="00582C31"/>
    <w:rsid w:val="0058312C"/>
    <w:rsid w:val="00583241"/>
    <w:rsid w:val="005855EC"/>
    <w:rsid w:val="00586FAE"/>
    <w:rsid w:val="00587706"/>
    <w:rsid w:val="00587B42"/>
    <w:rsid w:val="0059106E"/>
    <w:rsid w:val="00593F76"/>
    <w:rsid w:val="00594E3C"/>
    <w:rsid w:val="00595BB4"/>
    <w:rsid w:val="00595FC1"/>
    <w:rsid w:val="00597893"/>
    <w:rsid w:val="005A2523"/>
    <w:rsid w:val="005A3257"/>
    <w:rsid w:val="005A3A36"/>
    <w:rsid w:val="005A4921"/>
    <w:rsid w:val="005A4DB1"/>
    <w:rsid w:val="005A52CC"/>
    <w:rsid w:val="005A68B7"/>
    <w:rsid w:val="005A6C8D"/>
    <w:rsid w:val="005B10DA"/>
    <w:rsid w:val="005B1EF2"/>
    <w:rsid w:val="005B257D"/>
    <w:rsid w:val="005B3675"/>
    <w:rsid w:val="005B404E"/>
    <w:rsid w:val="005B40D6"/>
    <w:rsid w:val="005B4956"/>
    <w:rsid w:val="005B4B4A"/>
    <w:rsid w:val="005B4DD9"/>
    <w:rsid w:val="005B5EA9"/>
    <w:rsid w:val="005C14C3"/>
    <w:rsid w:val="005C1C64"/>
    <w:rsid w:val="005C321A"/>
    <w:rsid w:val="005C37CF"/>
    <w:rsid w:val="005C461F"/>
    <w:rsid w:val="005C58E9"/>
    <w:rsid w:val="005C661C"/>
    <w:rsid w:val="005C7437"/>
    <w:rsid w:val="005C775F"/>
    <w:rsid w:val="005D052D"/>
    <w:rsid w:val="005D0C01"/>
    <w:rsid w:val="005D2B9E"/>
    <w:rsid w:val="005D2BBB"/>
    <w:rsid w:val="005E2F3E"/>
    <w:rsid w:val="005E4F5F"/>
    <w:rsid w:val="005E566D"/>
    <w:rsid w:val="005E57D2"/>
    <w:rsid w:val="005E5FD1"/>
    <w:rsid w:val="005E707F"/>
    <w:rsid w:val="005F0D33"/>
    <w:rsid w:val="005F1AEB"/>
    <w:rsid w:val="005F23AE"/>
    <w:rsid w:val="005F4AC8"/>
    <w:rsid w:val="005F5C6A"/>
    <w:rsid w:val="005F5F76"/>
    <w:rsid w:val="005F76C2"/>
    <w:rsid w:val="005F7FA8"/>
    <w:rsid w:val="006007F8"/>
    <w:rsid w:val="00601E64"/>
    <w:rsid w:val="006058DC"/>
    <w:rsid w:val="00606D43"/>
    <w:rsid w:val="00607BB7"/>
    <w:rsid w:val="00610738"/>
    <w:rsid w:val="006120C7"/>
    <w:rsid w:val="006126A3"/>
    <w:rsid w:val="00613C16"/>
    <w:rsid w:val="00615575"/>
    <w:rsid w:val="0061604B"/>
    <w:rsid w:val="006161EA"/>
    <w:rsid w:val="0061682B"/>
    <w:rsid w:val="00620753"/>
    <w:rsid w:val="00621272"/>
    <w:rsid w:val="00622D13"/>
    <w:rsid w:val="00623667"/>
    <w:rsid w:val="0062750B"/>
    <w:rsid w:val="0063219B"/>
    <w:rsid w:val="006331C8"/>
    <w:rsid w:val="0063379F"/>
    <w:rsid w:val="006338C0"/>
    <w:rsid w:val="006354ED"/>
    <w:rsid w:val="00637348"/>
    <w:rsid w:val="00637C9C"/>
    <w:rsid w:val="006413E1"/>
    <w:rsid w:val="00642390"/>
    <w:rsid w:val="00644CE9"/>
    <w:rsid w:val="0064525B"/>
    <w:rsid w:val="006454F6"/>
    <w:rsid w:val="00646166"/>
    <w:rsid w:val="006479D4"/>
    <w:rsid w:val="00647D05"/>
    <w:rsid w:val="00647E44"/>
    <w:rsid w:val="00651E42"/>
    <w:rsid w:val="00653019"/>
    <w:rsid w:val="006535AB"/>
    <w:rsid w:val="0065499E"/>
    <w:rsid w:val="00654A01"/>
    <w:rsid w:val="00655A10"/>
    <w:rsid w:val="00657FEF"/>
    <w:rsid w:val="00661E4B"/>
    <w:rsid w:val="0066695F"/>
    <w:rsid w:val="00666C03"/>
    <w:rsid w:val="00667203"/>
    <w:rsid w:val="00673A0C"/>
    <w:rsid w:val="00676751"/>
    <w:rsid w:val="00676A17"/>
    <w:rsid w:val="006812FD"/>
    <w:rsid w:val="006819DA"/>
    <w:rsid w:val="00682310"/>
    <w:rsid w:val="00682D2F"/>
    <w:rsid w:val="00683CC4"/>
    <w:rsid w:val="00683F2C"/>
    <w:rsid w:val="00684790"/>
    <w:rsid w:val="006848E3"/>
    <w:rsid w:val="006866E1"/>
    <w:rsid w:val="006913E3"/>
    <w:rsid w:val="00691E04"/>
    <w:rsid w:val="006930B3"/>
    <w:rsid w:val="00695C79"/>
    <w:rsid w:val="0069726A"/>
    <w:rsid w:val="006976E2"/>
    <w:rsid w:val="006A0285"/>
    <w:rsid w:val="006A1BC5"/>
    <w:rsid w:val="006A224E"/>
    <w:rsid w:val="006A321F"/>
    <w:rsid w:val="006A3498"/>
    <w:rsid w:val="006A4351"/>
    <w:rsid w:val="006A608C"/>
    <w:rsid w:val="006A699B"/>
    <w:rsid w:val="006A6ED4"/>
    <w:rsid w:val="006B0621"/>
    <w:rsid w:val="006B0B8C"/>
    <w:rsid w:val="006B1CFF"/>
    <w:rsid w:val="006B2412"/>
    <w:rsid w:val="006B4221"/>
    <w:rsid w:val="006B4268"/>
    <w:rsid w:val="006B4D5B"/>
    <w:rsid w:val="006B5C7E"/>
    <w:rsid w:val="006C1067"/>
    <w:rsid w:val="006C1FC1"/>
    <w:rsid w:val="006C28A4"/>
    <w:rsid w:val="006C2A09"/>
    <w:rsid w:val="006C304C"/>
    <w:rsid w:val="006C35EA"/>
    <w:rsid w:val="006C4F98"/>
    <w:rsid w:val="006C7DD5"/>
    <w:rsid w:val="006D01B6"/>
    <w:rsid w:val="006D0313"/>
    <w:rsid w:val="006D088D"/>
    <w:rsid w:val="006D0CEF"/>
    <w:rsid w:val="006D191F"/>
    <w:rsid w:val="006D1AF4"/>
    <w:rsid w:val="006D66A1"/>
    <w:rsid w:val="006E0450"/>
    <w:rsid w:val="006E1371"/>
    <w:rsid w:val="006E27BF"/>
    <w:rsid w:val="006E3B5A"/>
    <w:rsid w:val="006E4F3F"/>
    <w:rsid w:val="006E5C42"/>
    <w:rsid w:val="006E7327"/>
    <w:rsid w:val="006E7887"/>
    <w:rsid w:val="006F03AD"/>
    <w:rsid w:val="006F1D45"/>
    <w:rsid w:val="006F2780"/>
    <w:rsid w:val="006F3643"/>
    <w:rsid w:val="006F3E46"/>
    <w:rsid w:val="006F3E5C"/>
    <w:rsid w:val="006F45D4"/>
    <w:rsid w:val="006F4694"/>
    <w:rsid w:val="006F502E"/>
    <w:rsid w:val="006F5C17"/>
    <w:rsid w:val="006F5DBF"/>
    <w:rsid w:val="006F6225"/>
    <w:rsid w:val="00700F8A"/>
    <w:rsid w:val="0070529E"/>
    <w:rsid w:val="007055E2"/>
    <w:rsid w:val="007055FD"/>
    <w:rsid w:val="00705F82"/>
    <w:rsid w:val="0070628C"/>
    <w:rsid w:val="00714FC7"/>
    <w:rsid w:val="00715882"/>
    <w:rsid w:val="007158BD"/>
    <w:rsid w:val="00715C15"/>
    <w:rsid w:val="00716182"/>
    <w:rsid w:val="00716B30"/>
    <w:rsid w:val="00720A09"/>
    <w:rsid w:val="007218CE"/>
    <w:rsid w:val="0072239C"/>
    <w:rsid w:val="0072346C"/>
    <w:rsid w:val="007240E5"/>
    <w:rsid w:val="00724393"/>
    <w:rsid w:val="0072488A"/>
    <w:rsid w:val="00725D6F"/>
    <w:rsid w:val="00727D30"/>
    <w:rsid w:val="00727E67"/>
    <w:rsid w:val="007324D7"/>
    <w:rsid w:val="007324FE"/>
    <w:rsid w:val="00733738"/>
    <w:rsid w:val="0073450F"/>
    <w:rsid w:val="00734603"/>
    <w:rsid w:val="00736222"/>
    <w:rsid w:val="00741983"/>
    <w:rsid w:val="007419D1"/>
    <w:rsid w:val="007448AC"/>
    <w:rsid w:val="00745CE3"/>
    <w:rsid w:val="00746001"/>
    <w:rsid w:val="00747DF1"/>
    <w:rsid w:val="00747ED4"/>
    <w:rsid w:val="00751469"/>
    <w:rsid w:val="007535A3"/>
    <w:rsid w:val="007565C3"/>
    <w:rsid w:val="00756BBF"/>
    <w:rsid w:val="0075760F"/>
    <w:rsid w:val="00760BD6"/>
    <w:rsid w:val="0076125E"/>
    <w:rsid w:val="0076563C"/>
    <w:rsid w:val="00765ED9"/>
    <w:rsid w:val="00767155"/>
    <w:rsid w:val="00767D17"/>
    <w:rsid w:val="00767FA2"/>
    <w:rsid w:val="007717AE"/>
    <w:rsid w:val="007725B7"/>
    <w:rsid w:val="0077315C"/>
    <w:rsid w:val="0077676E"/>
    <w:rsid w:val="00777440"/>
    <w:rsid w:val="00780C58"/>
    <w:rsid w:val="00782164"/>
    <w:rsid w:val="007824F8"/>
    <w:rsid w:val="007832A6"/>
    <w:rsid w:val="007836EB"/>
    <w:rsid w:val="00783A7D"/>
    <w:rsid w:val="00783D3E"/>
    <w:rsid w:val="00785009"/>
    <w:rsid w:val="007851C3"/>
    <w:rsid w:val="007864CF"/>
    <w:rsid w:val="00787793"/>
    <w:rsid w:val="0079079E"/>
    <w:rsid w:val="007949D3"/>
    <w:rsid w:val="00795BC7"/>
    <w:rsid w:val="007971E5"/>
    <w:rsid w:val="007A00A4"/>
    <w:rsid w:val="007A40FD"/>
    <w:rsid w:val="007A46E2"/>
    <w:rsid w:val="007A5488"/>
    <w:rsid w:val="007A5A6A"/>
    <w:rsid w:val="007A5AE2"/>
    <w:rsid w:val="007A5C6E"/>
    <w:rsid w:val="007B10D7"/>
    <w:rsid w:val="007B2320"/>
    <w:rsid w:val="007B2DD2"/>
    <w:rsid w:val="007B35AD"/>
    <w:rsid w:val="007B40ED"/>
    <w:rsid w:val="007B415E"/>
    <w:rsid w:val="007B4605"/>
    <w:rsid w:val="007B6C53"/>
    <w:rsid w:val="007B709B"/>
    <w:rsid w:val="007C1492"/>
    <w:rsid w:val="007C1D4A"/>
    <w:rsid w:val="007C2DB9"/>
    <w:rsid w:val="007C3991"/>
    <w:rsid w:val="007C4AEF"/>
    <w:rsid w:val="007C61B0"/>
    <w:rsid w:val="007C7953"/>
    <w:rsid w:val="007C7AB3"/>
    <w:rsid w:val="007C7BBB"/>
    <w:rsid w:val="007D2603"/>
    <w:rsid w:val="007D3970"/>
    <w:rsid w:val="007D43E5"/>
    <w:rsid w:val="007D5ECD"/>
    <w:rsid w:val="007D6B49"/>
    <w:rsid w:val="007D7899"/>
    <w:rsid w:val="007E0F0A"/>
    <w:rsid w:val="007E1F25"/>
    <w:rsid w:val="007E2EBA"/>
    <w:rsid w:val="007E317D"/>
    <w:rsid w:val="007E4977"/>
    <w:rsid w:val="007E4A51"/>
    <w:rsid w:val="007E4F11"/>
    <w:rsid w:val="007E68F9"/>
    <w:rsid w:val="007E697D"/>
    <w:rsid w:val="007E6D51"/>
    <w:rsid w:val="007F01E0"/>
    <w:rsid w:val="007F214E"/>
    <w:rsid w:val="007F2CAF"/>
    <w:rsid w:val="007F6198"/>
    <w:rsid w:val="007F627A"/>
    <w:rsid w:val="00800CBC"/>
    <w:rsid w:val="0080313B"/>
    <w:rsid w:val="00804814"/>
    <w:rsid w:val="00804CEE"/>
    <w:rsid w:val="008050CE"/>
    <w:rsid w:val="00805837"/>
    <w:rsid w:val="00805932"/>
    <w:rsid w:val="00805FAA"/>
    <w:rsid w:val="00807D77"/>
    <w:rsid w:val="0081123F"/>
    <w:rsid w:val="00811C73"/>
    <w:rsid w:val="008124BD"/>
    <w:rsid w:val="00814CBC"/>
    <w:rsid w:val="00815B14"/>
    <w:rsid w:val="00815E59"/>
    <w:rsid w:val="008165D9"/>
    <w:rsid w:val="0081689C"/>
    <w:rsid w:val="008206B0"/>
    <w:rsid w:val="008211E5"/>
    <w:rsid w:val="0082184E"/>
    <w:rsid w:val="0082199D"/>
    <w:rsid w:val="00823286"/>
    <w:rsid w:val="0082342B"/>
    <w:rsid w:val="00824F19"/>
    <w:rsid w:val="008252B6"/>
    <w:rsid w:val="00825CA2"/>
    <w:rsid w:val="00826531"/>
    <w:rsid w:val="008267F8"/>
    <w:rsid w:val="00826A82"/>
    <w:rsid w:val="00827896"/>
    <w:rsid w:val="008300F8"/>
    <w:rsid w:val="00831BBA"/>
    <w:rsid w:val="00833877"/>
    <w:rsid w:val="0083537F"/>
    <w:rsid w:val="00835FD0"/>
    <w:rsid w:val="00836F13"/>
    <w:rsid w:val="0084308F"/>
    <w:rsid w:val="008430E7"/>
    <w:rsid w:val="008441B4"/>
    <w:rsid w:val="00844705"/>
    <w:rsid w:val="00844956"/>
    <w:rsid w:val="00844A30"/>
    <w:rsid w:val="00846402"/>
    <w:rsid w:val="008503D8"/>
    <w:rsid w:val="008572E6"/>
    <w:rsid w:val="00860A6D"/>
    <w:rsid w:val="008627EC"/>
    <w:rsid w:val="00862D06"/>
    <w:rsid w:val="00863520"/>
    <w:rsid w:val="00863BAD"/>
    <w:rsid w:val="00863FED"/>
    <w:rsid w:val="008648A0"/>
    <w:rsid w:val="008712B3"/>
    <w:rsid w:val="00871ABE"/>
    <w:rsid w:val="00872B24"/>
    <w:rsid w:val="00872FC1"/>
    <w:rsid w:val="00877117"/>
    <w:rsid w:val="008819F7"/>
    <w:rsid w:val="008836B5"/>
    <w:rsid w:val="00884963"/>
    <w:rsid w:val="00886B1E"/>
    <w:rsid w:val="00891471"/>
    <w:rsid w:val="0089255C"/>
    <w:rsid w:val="0089353B"/>
    <w:rsid w:val="00895641"/>
    <w:rsid w:val="008961E0"/>
    <w:rsid w:val="0089743F"/>
    <w:rsid w:val="008A1DE4"/>
    <w:rsid w:val="008A3B00"/>
    <w:rsid w:val="008A4389"/>
    <w:rsid w:val="008A4C63"/>
    <w:rsid w:val="008A5B5B"/>
    <w:rsid w:val="008A680D"/>
    <w:rsid w:val="008B0C86"/>
    <w:rsid w:val="008B26C4"/>
    <w:rsid w:val="008B37EF"/>
    <w:rsid w:val="008B3E35"/>
    <w:rsid w:val="008B4310"/>
    <w:rsid w:val="008B4724"/>
    <w:rsid w:val="008B5AE2"/>
    <w:rsid w:val="008B659F"/>
    <w:rsid w:val="008B667B"/>
    <w:rsid w:val="008B6935"/>
    <w:rsid w:val="008B7FCC"/>
    <w:rsid w:val="008C32CE"/>
    <w:rsid w:val="008C33A9"/>
    <w:rsid w:val="008C3A08"/>
    <w:rsid w:val="008C3BEF"/>
    <w:rsid w:val="008C68E2"/>
    <w:rsid w:val="008C70A8"/>
    <w:rsid w:val="008C73B0"/>
    <w:rsid w:val="008C77BA"/>
    <w:rsid w:val="008C7E44"/>
    <w:rsid w:val="008D13B3"/>
    <w:rsid w:val="008D1C64"/>
    <w:rsid w:val="008D1F68"/>
    <w:rsid w:val="008D3212"/>
    <w:rsid w:val="008D6667"/>
    <w:rsid w:val="008D67E7"/>
    <w:rsid w:val="008D6848"/>
    <w:rsid w:val="008D769B"/>
    <w:rsid w:val="008E097F"/>
    <w:rsid w:val="008E1253"/>
    <w:rsid w:val="008E28F7"/>
    <w:rsid w:val="008E2A6E"/>
    <w:rsid w:val="008E34CE"/>
    <w:rsid w:val="008E3788"/>
    <w:rsid w:val="008E3C17"/>
    <w:rsid w:val="008E5AF1"/>
    <w:rsid w:val="008E750F"/>
    <w:rsid w:val="008E7E0B"/>
    <w:rsid w:val="008F0F07"/>
    <w:rsid w:val="008F129C"/>
    <w:rsid w:val="008F2A13"/>
    <w:rsid w:val="008F3514"/>
    <w:rsid w:val="008F42BD"/>
    <w:rsid w:val="008F68B0"/>
    <w:rsid w:val="00900457"/>
    <w:rsid w:val="00900EFA"/>
    <w:rsid w:val="00901569"/>
    <w:rsid w:val="009027E4"/>
    <w:rsid w:val="00902B20"/>
    <w:rsid w:val="0090540F"/>
    <w:rsid w:val="00905A0B"/>
    <w:rsid w:val="00906004"/>
    <w:rsid w:val="00906BD9"/>
    <w:rsid w:val="00910B0D"/>
    <w:rsid w:val="009117D6"/>
    <w:rsid w:val="00911CE5"/>
    <w:rsid w:val="009137B2"/>
    <w:rsid w:val="00914180"/>
    <w:rsid w:val="009142A3"/>
    <w:rsid w:val="009173BE"/>
    <w:rsid w:val="009175CA"/>
    <w:rsid w:val="00920B07"/>
    <w:rsid w:val="009215B6"/>
    <w:rsid w:val="00921C53"/>
    <w:rsid w:val="00921D3E"/>
    <w:rsid w:val="009263A2"/>
    <w:rsid w:val="009278AB"/>
    <w:rsid w:val="0093018C"/>
    <w:rsid w:val="00930668"/>
    <w:rsid w:val="00931E85"/>
    <w:rsid w:val="0093241F"/>
    <w:rsid w:val="00933008"/>
    <w:rsid w:val="00935DEE"/>
    <w:rsid w:val="0093649F"/>
    <w:rsid w:val="00936E2C"/>
    <w:rsid w:val="00941A90"/>
    <w:rsid w:val="00942A54"/>
    <w:rsid w:val="00943CC9"/>
    <w:rsid w:val="0094416D"/>
    <w:rsid w:val="00945B53"/>
    <w:rsid w:val="00952BF5"/>
    <w:rsid w:val="00957929"/>
    <w:rsid w:val="00960117"/>
    <w:rsid w:val="00960708"/>
    <w:rsid w:val="00961657"/>
    <w:rsid w:val="00961706"/>
    <w:rsid w:val="00962B61"/>
    <w:rsid w:val="00966C87"/>
    <w:rsid w:val="0096767F"/>
    <w:rsid w:val="00971698"/>
    <w:rsid w:val="00974FA6"/>
    <w:rsid w:val="009756D2"/>
    <w:rsid w:val="00976895"/>
    <w:rsid w:val="00977426"/>
    <w:rsid w:val="00977626"/>
    <w:rsid w:val="0097775F"/>
    <w:rsid w:val="00977BCB"/>
    <w:rsid w:val="0098032D"/>
    <w:rsid w:val="00983616"/>
    <w:rsid w:val="00983FF2"/>
    <w:rsid w:val="009847C0"/>
    <w:rsid w:val="00986312"/>
    <w:rsid w:val="00986599"/>
    <w:rsid w:val="00990B39"/>
    <w:rsid w:val="00990CBD"/>
    <w:rsid w:val="009915EB"/>
    <w:rsid w:val="009924DC"/>
    <w:rsid w:val="00992D7D"/>
    <w:rsid w:val="00993770"/>
    <w:rsid w:val="00994677"/>
    <w:rsid w:val="009953C2"/>
    <w:rsid w:val="0099557F"/>
    <w:rsid w:val="00996628"/>
    <w:rsid w:val="009968C5"/>
    <w:rsid w:val="00997288"/>
    <w:rsid w:val="009973E3"/>
    <w:rsid w:val="00997CF9"/>
    <w:rsid w:val="009A16FB"/>
    <w:rsid w:val="009A23AB"/>
    <w:rsid w:val="009A252F"/>
    <w:rsid w:val="009A2859"/>
    <w:rsid w:val="009A4630"/>
    <w:rsid w:val="009A479A"/>
    <w:rsid w:val="009A520A"/>
    <w:rsid w:val="009A5D49"/>
    <w:rsid w:val="009A61FE"/>
    <w:rsid w:val="009A6FDF"/>
    <w:rsid w:val="009B2E50"/>
    <w:rsid w:val="009B4752"/>
    <w:rsid w:val="009B64EA"/>
    <w:rsid w:val="009B74B5"/>
    <w:rsid w:val="009B74C6"/>
    <w:rsid w:val="009B783C"/>
    <w:rsid w:val="009B7E00"/>
    <w:rsid w:val="009C1E51"/>
    <w:rsid w:val="009C38A2"/>
    <w:rsid w:val="009C47EF"/>
    <w:rsid w:val="009C6B47"/>
    <w:rsid w:val="009D1673"/>
    <w:rsid w:val="009D180E"/>
    <w:rsid w:val="009D1840"/>
    <w:rsid w:val="009D1ADE"/>
    <w:rsid w:val="009D36EB"/>
    <w:rsid w:val="009D3CCD"/>
    <w:rsid w:val="009D7237"/>
    <w:rsid w:val="009D74E8"/>
    <w:rsid w:val="009D76C9"/>
    <w:rsid w:val="009D7C43"/>
    <w:rsid w:val="009E0F64"/>
    <w:rsid w:val="009E19F3"/>
    <w:rsid w:val="009E22CE"/>
    <w:rsid w:val="009E3A91"/>
    <w:rsid w:val="009E4181"/>
    <w:rsid w:val="009E5C5E"/>
    <w:rsid w:val="009E60E8"/>
    <w:rsid w:val="009E6E6A"/>
    <w:rsid w:val="009E72AE"/>
    <w:rsid w:val="009F3835"/>
    <w:rsid w:val="009F5EFC"/>
    <w:rsid w:val="00A001E6"/>
    <w:rsid w:val="00A0048E"/>
    <w:rsid w:val="00A00D7A"/>
    <w:rsid w:val="00A00E9A"/>
    <w:rsid w:val="00A012DB"/>
    <w:rsid w:val="00A01A1D"/>
    <w:rsid w:val="00A02006"/>
    <w:rsid w:val="00A02FD5"/>
    <w:rsid w:val="00A0317F"/>
    <w:rsid w:val="00A04603"/>
    <w:rsid w:val="00A05C72"/>
    <w:rsid w:val="00A05DFD"/>
    <w:rsid w:val="00A06828"/>
    <w:rsid w:val="00A078A8"/>
    <w:rsid w:val="00A105C7"/>
    <w:rsid w:val="00A107AA"/>
    <w:rsid w:val="00A108DD"/>
    <w:rsid w:val="00A10CE9"/>
    <w:rsid w:val="00A15848"/>
    <w:rsid w:val="00A21F8C"/>
    <w:rsid w:val="00A229BF"/>
    <w:rsid w:val="00A2341D"/>
    <w:rsid w:val="00A237A2"/>
    <w:rsid w:val="00A23C9F"/>
    <w:rsid w:val="00A26A28"/>
    <w:rsid w:val="00A26D9C"/>
    <w:rsid w:val="00A305CB"/>
    <w:rsid w:val="00A30805"/>
    <w:rsid w:val="00A33D4A"/>
    <w:rsid w:val="00A37942"/>
    <w:rsid w:val="00A400BE"/>
    <w:rsid w:val="00A40718"/>
    <w:rsid w:val="00A423A6"/>
    <w:rsid w:val="00A42CD4"/>
    <w:rsid w:val="00A44068"/>
    <w:rsid w:val="00A44CBD"/>
    <w:rsid w:val="00A5083D"/>
    <w:rsid w:val="00A52F80"/>
    <w:rsid w:val="00A53203"/>
    <w:rsid w:val="00A536D8"/>
    <w:rsid w:val="00A53822"/>
    <w:rsid w:val="00A543C7"/>
    <w:rsid w:val="00A55236"/>
    <w:rsid w:val="00A55613"/>
    <w:rsid w:val="00A55E16"/>
    <w:rsid w:val="00A577DF"/>
    <w:rsid w:val="00A57BB3"/>
    <w:rsid w:val="00A602D8"/>
    <w:rsid w:val="00A6052F"/>
    <w:rsid w:val="00A64140"/>
    <w:rsid w:val="00A64721"/>
    <w:rsid w:val="00A65EF7"/>
    <w:rsid w:val="00A70CB0"/>
    <w:rsid w:val="00A71BF6"/>
    <w:rsid w:val="00A72F33"/>
    <w:rsid w:val="00A750B7"/>
    <w:rsid w:val="00A7724E"/>
    <w:rsid w:val="00A8042D"/>
    <w:rsid w:val="00A8195B"/>
    <w:rsid w:val="00A83131"/>
    <w:rsid w:val="00A86EC8"/>
    <w:rsid w:val="00A9032E"/>
    <w:rsid w:val="00A90C27"/>
    <w:rsid w:val="00A9305A"/>
    <w:rsid w:val="00A93FB8"/>
    <w:rsid w:val="00A95498"/>
    <w:rsid w:val="00AA175A"/>
    <w:rsid w:val="00AA2400"/>
    <w:rsid w:val="00AA48F8"/>
    <w:rsid w:val="00AA606E"/>
    <w:rsid w:val="00AB0AC5"/>
    <w:rsid w:val="00AB0B5C"/>
    <w:rsid w:val="00AB0B8F"/>
    <w:rsid w:val="00AB0C42"/>
    <w:rsid w:val="00AB2AC6"/>
    <w:rsid w:val="00AB4708"/>
    <w:rsid w:val="00AB4F1D"/>
    <w:rsid w:val="00AB594C"/>
    <w:rsid w:val="00AB7AFD"/>
    <w:rsid w:val="00AC0B39"/>
    <w:rsid w:val="00AC0DB7"/>
    <w:rsid w:val="00AC16AE"/>
    <w:rsid w:val="00AC2C92"/>
    <w:rsid w:val="00AC335A"/>
    <w:rsid w:val="00AC399B"/>
    <w:rsid w:val="00AC3EF0"/>
    <w:rsid w:val="00AC4842"/>
    <w:rsid w:val="00AC630A"/>
    <w:rsid w:val="00AD1C7B"/>
    <w:rsid w:val="00AD35F6"/>
    <w:rsid w:val="00AD4BE7"/>
    <w:rsid w:val="00AD681C"/>
    <w:rsid w:val="00AE1CA7"/>
    <w:rsid w:val="00AE597E"/>
    <w:rsid w:val="00AE61EC"/>
    <w:rsid w:val="00AF4790"/>
    <w:rsid w:val="00AF5328"/>
    <w:rsid w:val="00AF60DD"/>
    <w:rsid w:val="00AF694F"/>
    <w:rsid w:val="00B002BA"/>
    <w:rsid w:val="00B04029"/>
    <w:rsid w:val="00B04440"/>
    <w:rsid w:val="00B050A3"/>
    <w:rsid w:val="00B07127"/>
    <w:rsid w:val="00B07480"/>
    <w:rsid w:val="00B13DDE"/>
    <w:rsid w:val="00B14499"/>
    <w:rsid w:val="00B144AC"/>
    <w:rsid w:val="00B14767"/>
    <w:rsid w:val="00B1531A"/>
    <w:rsid w:val="00B15A0C"/>
    <w:rsid w:val="00B166C3"/>
    <w:rsid w:val="00B1701B"/>
    <w:rsid w:val="00B17D3D"/>
    <w:rsid w:val="00B21112"/>
    <w:rsid w:val="00B23243"/>
    <w:rsid w:val="00B23802"/>
    <w:rsid w:val="00B23DC5"/>
    <w:rsid w:val="00B242E2"/>
    <w:rsid w:val="00B26BF2"/>
    <w:rsid w:val="00B30167"/>
    <w:rsid w:val="00B30950"/>
    <w:rsid w:val="00B31628"/>
    <w:rsid w:val="00B319B1"/>
    <w:rsid w:val="00B32145"/>
    <w:rsid w:val="00B32F4C"/>
    <w:rsid w:val="00B330C4"/>
    <w:rsid w:val="00B342A1"/>
    <w:rsid w:val="00B3487C"/>
    <w:rsid w:val="00B34901"/>
    <w:rsid w:val="00B36D99"/>
    <w:rsid w:val="00B37436"/>
    <w:rsid w:val="00B40475"/>
    <w:rsid w:val="00B4062B"/>
    <w:rsid w:val="00B411BB"/>
    <w:rsid w:val="00B4314B"/>
    <w:rsid w:val="00B44255"/>
    <w:rsid w:val="00B47962"/>
    <w:rsid w:val="00B52FC1"/>
    <w:rsid w:val="00B53256"/>
    <w:rsid w:val="00B556B5"/>
    <w:rsid w:val="00B61230"/>
    <w:rsid w:val="00B64F18"/>
    <w:rsid w:val="00B678ED"/>
    <w:rsid w:val="00B72444"/>
    <w:rsid w:val="00B724CB"/>
    <w:rsid w:val="00B7319A"/>
    <w:rsid w:val="00B74E26"/>
    <w:rsid w:val="00B778A3"/>
    <w:rsid w:val="00B77F85"/>
    <w:rsid w:val="00B80BA9"/>
    <w:rsid w:val="00B815AD"/>
    <w:rsid w:val="00B81728"/>
    <w:rsid w:val="00B82669"/>
    <w:rsid w:val="00B828F4"/>
    <w:rsid w:val="00B92FB1"/>
    <w:rsid w:val="00B9308A"/>
    <w:rsid w:val="00B944B8"/>
    <w:rsid w:val="00B95260"/>
    <w:rsid w:val="00B95A30"/>
    <w:rsid w:val="00B95C88"/>
    <w:rsid w:val="00B962F7"/>
    <w:rsid w:val="00B97AA2"/>
    <w:rsid w:val="00BA1012"/>
    <w:rsid w:val="00BA159F"/>
    <w:rsid w:val="00BA2713"/>
    <w:rsid w:val="00BA49E4"/>
    <w:rsid w:val="00BA4F7D"/>
    <w:rsid w:val="00BA60FB"/>
    <w:rsid w:val="00BB0154"/>
    <w:rsid w:val="00BB092D"/>
    <w:rsid w:val="00BB2A2C"/>
    <w:rsid w:val="00BB4073"/>
    <w:rsid w:val="00BB4C14"/>
    <w:rsid w:val="00BB60E7"/>
    <w:rsid w:val="00BC057D"/>
    <w:rsid w:val="00BC0993"/>
    <w:rsid w:val="00BC0EFE"/>
    <w:rsid w:val="00BC19E0"/>
    <w:rsid w:val="00BC1CD7"/>
    <w:rsid w:val="00BC1FAE"/>
    <w:rsid w:val="00BC273E"/>
    <w:rsid w:val="00BC4C49"/>
    <w:rsid w:val="00BD26A8"/>
    <w:rsid w:val="00BD4C84"/>
    <w:rsid w:val="00BD6CC2"/>
    <w:rsid w:val="00BD6FAD"/>
    <w:rsid w:val="00BD7A46"/>
    <w:rsid w:val="00BD7CE4"/>
    <w:rsid w:val="00BE0104"/>
    <w:rsid w:val="00BE05CD"/>
    <w:rsid w:val="00BE30BC"/>
    <w:rsid w:val="00BE4FE7"/>
    <w:rsid w:val="00BE5231"/>
    <w:rsid w:val="00BE67C6"/>
    <w:rsid w:val="00BE684B"/>
    <w:rsid w:val="00BF158F"/>
    <w:rsid w:val="00BF3861"/>
    <w:rsid w:val="00BF40FA"/>
    <w:rsid w:val="00BF5BD6"/>
    <w:rsid w:val="00C01287"/>
    <w:rsid w:val="00C05666"/>
    <w:rsid w:val="00C07755"/>
    <w:rsid w:val="00C10E75"/>
    <w:rsid w:val="00C11810"/>
    <w:rsid w:val="00C11DAE"/>
    <w:rsid w:val="00C13A4B"/>
    <w:rsid w:val="00C1563D"/>
    <w:rsid w:val="00C16B77"/>
    <w:rsid w:val="00C16F13"/>
    <w:rsid w:val="00C212A9"/>
    <w:rsid w:val="00C21B90"/>
    <w:rsid w:val="00C22331"/>
    <w:rsid w:val="00C25F42"/>
    <w:rsid w:val="00C2789E"/>
    <w:rsid w:val="00C316C8"/>
    <w:rsid w:val="00C31F14"/>
    <w:rsid w:val="00C34906"/>
    <w:rsid w:val="00C3540C"/>
    <w:rsid w:val="00C35875"/>
    <w:rsid w:val="00C363A7"/>
    <w:rsid w:val="00C36976"/>
    <w:rsid w:val="00C37FBD"/>
    <w:rsid w:val="00C40B8D"/>
    <w:rsid w:val="00C41F21"/>
    <w:rsid w:val="00C42E06"/>
    <w:rsid w:val="00C4396E"/>
    <w:rsid w:val="00C44219"/>
    <w:rsid w:val="00C4628E"/>
    <w:rsid w:val="00C53031"/>
    <w:rsid w:val="00C53860"/>
    <w:rsid w:val="00C54021"/>
    <w:rsid w:val="00C54B30"/>
    <w:rsid w:val="00C55BD4"/>
    <w:rsid w:val="00C55D99"/>
    <w:rsid w:val="00C5633C"/>
    <w:rsid w:val="00C56438"/>
    <w:rsid w:val="00C5688A"/>
    <w:rsid w:val="00C57B90"/>
    <w:rsid w:val="00C60A98"/>
    <w:rsid w:val="00C64900"/>
    <w:rsid w:val="00C70B68"/>
    <w:rsid w:val="00C74067"/>
    <w:rsid w:val="00C76C9C"/>
    <w:rsid w:val="00C80BAF"/>
    <w:rsid w:val="00C8105C"/>
    <w:rsid w:val="00C814F2"/>
    <w:rsid w:val="00C81B74"/>
    <w:rsid w:val="00C85AAB"/>
    <w:rsid w:val="00C86308"/>
    <w:rsid w:val="00C87B9D"/>
    <w:rsid w:val="00C90AAE"/>
    <w:rsid w:val="00C940A1"/>
    <w:rsid w:val="00C94CC5"/>
    <w:rsid w:val="00C95AAF"/>
    <w:rsid w:val="00C97036"/>
    <w:rsid w:val="00C97C73"/>
    <w:rsid w:val="00CA1040"/>
    <w:rsid w:val="00CA21A0"/>
    <w:rsid w:val="00CA2564"/>
    <w:rsid w:val="00CA33FA"/>
    <w:rsid w:val="00CA4588"/>
    <w:rsid w:val="00CA5088"/>
    <w:rsid w:val="00CA5361"/>
    <w:rsid w:val="00CA6EB1"/>
    <w:rsid w:val="00CA6FD3"/>
    <w:rsid w:val="00CA7026"/>
    <w:rsid w:val="00CA7774"/>
    <w:rsid w:val="00CA7EAB"/>
    <w:rsid w:val="00CB007C"/>
    <w:rsid w:val="00CB1F1A"/>
    <w:rsid w:val="00CB2489"/>
    <w:rsid w:val="00CB25CA"/>
    <w:rsid w:val="00CB2A8D"/>
    <w:rsid w:val="00CB3078"/>
    <w:rsid w:val="00CB3CA4"/>
    <w:rsid w:val="00CB4F80"/>
    <w:rsid w:val="00CB606A"/>
    <w:rsid w:val="00CC170E"/>
    <w:rsid w:val="00CC4453"/>
    <w:rsid w:val="00CC65D3"/>
    <w:rsid w:val="00CC6AB6"/>
    <w:rsid w:val="00CD1988"/>
    <w:rsid w:val="00CD22AB"/>
    <w:rsid w:val="00CD24A9"/>
    <w:rsid w:val="00CD3D4A"/>
    <w:rsid w:val="00CD4B88"/>
    <w:rsid w:val="00CD4CB1"/>
    <w:rsid w:val="00CD6DBF"/>
    <w:rsid w:val="00CD7F73"/>
    <w:rsid w:val="00CE1420"/>
    <w:rsid w:val="00CE142F"/>
    <w:rsid w:val="00CE149A"/>
    <w:rsid w:val="00CE2A75"/>
    <w:rsid w:val="00CE30F1"/>
    <w:rsid w:val="00CE366F"/>
    <w:rsid w:val="00CE3793"/>
    <w:rsid w:val="00CE3B79"/>
    <w:rsid w:val="00CE5BFE"/>
    <w:rsid w:val="00CE5C05"/>
    <w:rsid w:val="00CE67BA"/>
    <w:rsid w:val="00CE6A3E"/>
    <w:rsid w:val="00CE7969"/>
    <w:rsid w:val="00CF207F"/>
    <w:rsid w:val="00CF252A"/>
    <w:rsid w:val="00CF260D"/>
    <w:rsid w:val="00CF2824"/>
    <w:rsid w:val="00CF39BC"/>
    <w:rsid w:val="00CF496B"/>
    <w:rsid w:val="00CF4A95"/>
    <w:rsid w:val="00CF68C6"/>
    <w:rsid w:val="00CF6B83"/>
    <w:rsid w:val="00CF6B9E"/>
    <w:rsid w:val="00CF7F7F"/>
    <w:rsid w:val="00D012D8"/>
    <w:rsid w:val="00D01D1A"/>
    <w:rsid w:val="00D04004"/>
    <w:rsid w:val="00D04052"/>
    <w:rsid w:val="00D0584A"/>
    <w:rsid w:val="00D063AB"/>
    <w:rsid w:val="00D07601"/>
    <w:rsid w:val="00D1059F"/>
    <w:rsid w:val="00D122D2"/>
    <w:rsid w:val="00D1584A"/>
    <w:rsid w:val="00D16765"/>
    <w:rsid w:val="00D17DE2"/>
    <w:rsid w:val="00D200EB"/>
    <w:rsid w:val="00D20D73"/>
    <w:rsid w:val="00D2363D"/>
    <w:rsid w:val="00D248FE"/>
    <w:rsid w:val="00D2591B"/>
    <w:rsid w:val="00D26136"/>
    <w:rsid w:val="00D265D9"/>
    <w:rsid w:val="00D26979"/>
    <w:rsid w:val="00D27937"/>
    <w:rsid w:val="00D30078"/>
    <w:rsid w:val="00D326D1"/>
    <w:rsid w:val="00D32C43"/>
    <w:rsid w:val="00D331DB"/>
    <w:rsid w:val="00D33992"/>
    <w:rsid w:val="00D359A2"/>
    <w:rsid w:val="00D37A31"/>
    <w:rsid w:val="00D37B6C"/>
    <w:rsid w:val="00D40DB1"/>
    <w:rsid w:val="00D4396C"/>
    <w:rsid w:val="00D43D96"/>
    <w:rsid w:val="00D43DE8"/>
    <w:rsid w:val="00D44387"/>
    <w:rsid w:val="00D476F8"/>
    <w:rsid w:val="00D502E7"/>
    <w:rsid w:val="00D503D8"/>
    <w:rsid w:val="00D534DB"/>
    <w:rsid w:val="00D54303"/>
    <w:rsid w:val="00D54C2A"/>
    <w:rsid w:val="00D5503E"/>
    <w:rsid w:val="00D5552C"/>
    <w:rsid w:val="00D57738"/>
    <w:rsid w:val="00D57C04"/>
    <w:rsid w:val="00D612F6"/>
    <w:rsid w:val="00D63212"/>
    <w:rsid w:val="00D66847"/>
    <w:rsid w:val="00D6694F"/>
    <w:rsid w:val="00D67B96"/>
    <w:rsid w:val="00D718CC"/>
    <w:rsid w:val="00D71A25"/>
    <w:rsid w:val="00D71D8A"/>
    <w:rsid w:val="00D72445"/>
    <w:rsid w:val="00D72CF7"/>
    <w:rsid w:val="00D733A8"/>
    <w:rsid w:val="00D756EF"/>
    <w:rsid w:val="00D77A10"/>
    <w:rsid w:val="00D8276D"/>
    <w:rsid w:val="00D828C6"/>
    <w:rsid w:val="00D82B09"/>
    <w:rsid w:val="00D82FEF"/>
    <w:rsid w:val="00D836E0"/>
    <w:rsid w:val="00D84DC6"/>
    <w:rsid w:val="00D8648A"/>
    <w:rsid w:val="00D90705"/>
    <w:rsid w:val="00D90AB0"/>
    <w:rsid w:val="00D9252B"/>
    <w:rsid w:val="00D92C74"/>
    <w:rsid w:val="00D964AA"/>
    <w:rsid w:val="00D97189"/>
    <w:rsid w:val="00DA003F"/>
    <w:rsid w:val="00DA0554"/>
    <w:rsid w:val="00DA0EB2"/>
    <w:rsid w:val="00DA1338"/>
    <w:rsid w:val="00DA18FB"/>
    <w:rsid w:val="00DA2507"/>
    <w:rsid w:val="00DA27E1"/>
    <w:rsid w:val="00DA4C48"/>
    <w:rsid w:val="00DA5D28"/>
    <w:rsid w:val="00DA60F7"/>
    <w:rsid w:val="00DA662E"/>
    <w:rsid w:val="00DA7D8A"/>
    <w:rsid w:val="00DB0BDD"/>
    <w:rsid w:val="00DB14EB"/>
    <w:rsid w:val="00DB1B83"/>
    <w:rsid w:val="00DB2FB2"/>
    <w:rsid w:val="00DB3106"/>
    <w:rsid w:val="00DB46D3"/>
    <w:rsid w:val="00DB4906"/>
    <w:rsid w:val="00DB55A3"/>
    <w:rsid w:val="00DB5E00"/>
    <w:rsid w:val="00DC1BA1"/>
    <w:rsid w:val="00DC26FA"/>
    <w:rsid w:val="00DC29DA"/>
    <w:rsid w:val="00DC55ED"/>
    <w:rsid w:val="00DC6906"/>
    <w:rsid w:val="00DC7837"/>
    <w:rsid w:val="00DC7D93"/>
    <w:rsid w:val="00DD6B44"/>
    <w:rsid w:val="00DE0EF5"/>
    <w:rsid w:val="00DE1443"/>
    <w:rsid w:val="00DE2935"/>
    <w:rsid w:val="00DE385F"/>
    <w:rsid w:val="00DE54BF"/>
    <w:rsid w:val="00DE72B9"/>
    <w:rsid w:val="00DF145F"/>
    <w:rsid w:val="00DF1C57"/>
    <w:rsid w:val="00DF1CF7"/>
    <w:rsid w:val="00DF515F"/>
    <w:rsid w:val="00DF5CBF"/>
    <w:rsid w:val="00E01250"/>
    <w:rsid w:val="00E019CE"/>
    <w:rsid w:val="00E049BA"/>
    <w:rsid w:val="00E05085"/>
    <w:rsid w:val="00E0616C"/>
    <w:rsid w:val="00E07563"/>
    <w:rsid w:val="00E133CE"/>
    <w:rsid w:val="00E1378E"/>
    <w:rsid w:val="00E1543D"/>
    <w:rsid w:val="00E157F4"/>
    <w:rsid w:val="00E16580"/>
    <w:rsid w:val="00E17A87"/>
    <w:rsid w:val="00E22217"/>
    <w:rsid w:val="00E24EA8"/>
    <w:rsid w:val="00E260F6"/>
    <w:rsid w:val="00E27DE3"/>
    <w:rsid w:val="00E30303"/>
    <w:rsid w:val="00E30FC0"/>
    <w:rsid w:val="00E31D22"/>
    <w:rsid w:val="00E320A5"/>
    <w:rsid w:val="00E3362D"/>
    <w:rsid w:val="00E34074"/>
    <w:rsid w:val="00E35CC3"/>
    <w:rsid w:val="00E3683A"/>
    <w:rsid w:val="00E41386"/>
    <w:rsid w:val="00E42722"/>
    <w:rsid w:val="00E439C1"/>
    <w:rsid w:val="00E447C8"/>
    <w:rsid w:val="00E44A7A"/>
    <w:rsid w:val="00E46443"/>
    <w:rsid w:val="00E47200"/>
    <w:rsid w:val="00E4727E"/>
    <w:rsid w:val="00E47D6F"/>
    <w:rsid w:val="00E516BD"/>
    <w:rsid w:val="00E5204E"/>
    <w:rsid w:val="00E530C8"/>
    <w:rsid w:val="00E57676"/>
    <w:rsid w:val="00E605A0"/>
    <w:rsid w:val="00E6130C"/>
    <w:rsid w:val="00E62424"/>
    <w:rsid w:val="00E62E92"/>
    <w:rsid w:val="00E64A4A"/>
    <w:rsid w:val="00E64D88"/>
    <w:rsid w:val="00E652C8"/>
    <w:rsid w:val="00E66807"/>
    <w:rsid w:val="00E67A63"/>
    <w:rsid w:val="00E67DED"/>
    <w:rsid w:val="00E700C5"/>
    <w:rsid w:val="00E70202"/>
    <w:rsid w:val="00E719B0"/>
    <w:rsid w:val="00E7243D"/>
    <w:rsid w:val="00E725E6"/>
    <w:rsid w:val="00E7565F"/>
    <w:rsid w:val="00E77B20"/>
    <w:rsid w:val="00E8109F"/>
    <w:rsid w:val="00E81176"/>
    <w:rsid w:val="00E84F81"/>
    <w:rsid w:val="00E85853"/>
    <w:rsid w:val="00E87330"/>
    <w:rsid w:val="00E91DD9"/>
    <w:rsid w:val="00E932EA"/>
    <w:rsid w:val="00E93D9E"/>
    <w:rsid w:val="00E95015"/>
    <w:rsid w:val="00E96731"/>
    <w:rsid w:val="00E9787A"/>
    <w:rsid w:val="00EA082D"/>
    <w:rsid w:val="00EA248C"/>
    <w:rsid w:val="00EA2627"/>
    <w:rsid w:val="00EA2C4A"/>
    <w:rsid w:val="00EA3290"/>
    <w:rsid w:val="00EB0148"/>
    <w:rsid w:val="00EB0D2B"/>
    <w:rsid w:val="00EB2E11"/>
    <w:rsid w:val="00EB3316"/>
    <w:rsid w:val="00EB3DA6"/>
    <w:rsid w:val="00EB3F62"/>
    <w:rsid w:val="00EB6E58"/>
    <w:rsid w:val="00EC0611"/>
    <w:rsid w:val="00EC091D"/>
    <w:rsid w:val="00EC1C83"/>
    <w:rsid w:val="00EC25C5"/>
    <w:rsid w:val="00EC32AF"/>
    <w:rsid w:val="00EC44C6"/>
    <w:rsid w:val="00EC534C"/>
    <w:rsid w:val="00EC59CF"/>
    <w:rsid w:val="00EC6A43"/>
    <w:rsid w:val="00ED056B"/>
    <w:rsid w:val="00ED6C26"/>
    <w:rsid w:val="00ED6C63"/>
    <w:rsid w:val="00ED6C6A"/>
    <w:rsid w:val="00ED712B"/>
    <w:rsid w:val="00EE01BD"/>
    <w:rsid w:val="00EE1677"/>
    <w:rsid w:val="00EE1874"/>
    <w:rsid w:val="00EE1E24"/>
    <w:rsid w:val="00EE3B66"/>
    <w:rsid w:val="00EE61A2"/>
    <w:rsid w:val="00EE6AC4"/>
    <w:rsid w:val="00EF00B1"/>
    <w:rsid w:val="00EF04FD"/>
    <w:rsid w:val="00EF05D1"/>
    <w:rsid w:val="00EF11AA"/>
    <w:rsid w:val="00EF24FD"/>
    <w:rsid w:val="00EF4AB9"/>
    <w:rsid w:val="00EF4B94"/>
    <w:rsid w:val="00EF4CD2"/>
    <w:rsid w:val="00EF59EB"/>
    <w:rsid w:val="00EF6473"/>
    <w:rsid w:val="00F02B92"/>
    <w:rsid w:val="00F03FBF"/>
    <w:rsid w:val="00F06174"/>
    <w:rsid w:val="00F062CB"/>
    <w:rsid w:val="00F068DC"/>
    <w:rsid w:val="00F06ADC"/>
    <w:rsid w:val="00F07D05"/>
    <w:rsid w:val="00F07F4E"/>
    <w:rsid w:val="00F10E75"/>
    <w:rsid w:val="00F10FA0"/>
    <w:rsid w:val="00F14094"/>
    <w:rsid w:val="00F14FA9"/>
    <w:rsid w:val="00F15832"/>
    <w:rsid w:val="00F15A51"/>
    <w:rsid w:val="00F15BEB"/>
    <w:rsid w:val="00F172F3"/>
    <w:rsid w:val="00F17B94"/>
    <w:rsid w:val="00F21AB7"/>
    <w:rsid w:val="00F22A5C"/>
    <w:rsid w:val="00F22D0C"/>
    <w:rsid w:val="00F2387D"/>
    <w:rsid w:val="00F23D56"/>
    <w:rsid w:val="00F2559A"/>
    <w:rsid w:val="00F2694F"/>
    <w:rsid w:val="00F26B84"/>
    <w:rsid w:val="00F27626"/>
    <w:rsid w:val="00F302C0"/>
    <w:rsid w:val="00F30C4D"/>
    <w:rsid w:val="00F30F69"/>
    <w:rsid w:val="00F319D0"/>
    <w:rsid w:val="00F31F56"/>
    <w:rsid w:val="00F34328"/>
    <w:rsid w:val="00F3496F"/>
    <w:rsid w:val="00F359D2"/>
    <w:rsid w:val="00F36A69"/>
    <w:rsid w:val="00F36AEE"/>
    <w:rsid w:val="00F37074"/>
    <w:rsid w:val="00F41490"/>
    <w:rsid w:val="00F426B7"/>
    <w:rsid w:val="00F43FE5"/>
    <w:rsid w:val="00F44440"/>
    <w:rsid w:val="00F44F87"/>
    <w:rsid w:val="00F46182"/>
    <w:rsid w:val="00F46A88"/>
    <w:rsid w:val="00F46F58"/>
    <w:rsid w:val="00F46FB5"/>
    <w:rsid w:val="00F506B2"/>
    <w:rsid w:val="00F506FF"/>
    <w:rsid w:val="00F50D82"/>
    <w:rsid w:val="00F52214"/>
    <w:rsid w:val="00F52729"/>
    <w:rsid w:val="00F5284E"/>
    <w:rsid w:val="00F532DA"/>
    <w:rsid w:val="00F539A2"/>
    <w:rsid w:val="00F54C70"/>
    <w:rsid w:val="00F56B00"/>
    <w:rsid w:val="00F573A7"/>
    <w:rsid w:val="00F601AE"/>
    <w:rsid w:val="00F61484"/>
    <w:rsid w:val="00F64E03"/>
    <w:rsid w:val="00F64F03"/>
    <w:rsid w:val="00F6640F"/>
    <w:rsid w:val="00F6750B"/>
    <w:rsid w:val="00F716A6"/>
    <w:rsid w:val="00F75817"/>
    <w:rsid w:val="00F76710"/>
    <w:rsid w:val="00F774C3"/>
    <w:rsid w:val="00F77CCF"/>
    <w:rsid w:val="00F80A39"/>
    <w:rsid w:val="00F81D82"/>
    <w:rsid w:val="00F83E87"/>
    <w:rsid w:val="00F85C13"/>
    <w:rsid w:val="00F9007E"/>
    <w:rsid w:val="00F91FB5"/>
    <w:rsid w:val="00F91FEC"/>
    <w:rsid w:val="00F93FB6"/>
    <w:rsid w:val="00F94AF6"/>
    <w:rsid w:val="00F9513A"/>
    <w:rsid w:val="00F953F9"/>
    <w:rsid w:val="00F9700E"/>
    <w:rsid w:val="00F97755"/>
    <w:rsid w:val="00FA01B9"/>
    <w:rsid w:val="00FA062C"/>
    <w:rsid w:val="00FA1424"/>
    <w:rsid w:val="00FA30B4"/>
    <w:rsid w:val="00FA31D0"/>
    <w:rsid w:val="00FA333F"/>
    <w:rsid w:val="00FA549A"/>
    <w:rsid w:val="00FA654B"/>
    <w:rsid w:val="00FA6BFC"/>
    <w:rsid w:val="00FA7159"/>
    <w:rsid w:val="00FB0A94"/>
    <w:rsid w:val="00FB1585"/>
    <w:rsid w:val="00FB184F"/>
    <w:rsid w:val="00FB39C1"/>
    <w:rsid w:val="00FB3CC5"/>
    <w:rsid w:val="00FB3E3A"/>
    <w:rsid w:val="00FB75D5"/>
    <w:rsid w:val="00FC0E88"/>
    <w:rsid w:val="00FC3099"/>
    <w:rsid w:val="00FC54DC"/>
    <w:rsid w:val="00FD0A2E"/>
    <w:rsid w:val="00FD4659"/>
    <w:rsid w:val="00FD6CFC"/>
    <w:rsid w:val="00FD746F"/>
    <w:rsid w:val="00FD7639"/>
    <w:rsid w:val="00FD7776"/>
    <w:rsid w:val="00FE0FD2"/>
    <w:rsid w:val="00FE245D"/>
    <w:rsid w:val="00FE264E"/>
    <w:rsid w:val="00FE2F9E"/>
    <w:rsid w:val="00FE3073"/>
    <w:rsid w:val="00FE47A0"/>
    <w:rsid w:val="00FE5238"/>
    <w:rsid w:val="00FE700D"/>
    <w:rsid w:val="00FE78F9"/>
    <w:rsid w:val="00FF063E"/>
    <w:rsid w:val="00FF1022"/>
    <w:rsid w:val="00FF10DF"/>
    <w:rsid w:val="00FF1A68"/>
    <w:rsid w:val="00FF1C1A"/>
    <w:rsid w:val="00FF28D4"/>
    <w:rsid w:val="00FF3087"/>
    <w:rsid w:val="00FF5F2A"/>
    <w:rsid w:val="00FF656F"/>
    <w:rsid w:val="00FF68A6"/>
    <w:rsid w:val="00FF6960"/>
    <w:rsid w:val="00FF77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5772B5"/>
  <w15:chartTrackingRefBased/>
  <w15:docId w15:val="{3EA0368F-259F-4D5B-AF94-E5EA9E4E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2">
    <w:name w:val="heading 2"/>
    <w:basedOn w:val="Standard"/>
    <w:next w:val="Standard"/>
    <w:link w:val="berschrift2Zchn"/>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paragraph" w:styleId="berschrift3">
    <w:name w:val="heading 3"/>
    <w:basedOn w:val="Standard"/>
    <w:link w:val="berschrift3Zchn"/>
    <w:uiPriority w:val="9"/>
    <w:qFormat/>
    <w:rsid w:val="004D42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pPr>
  </w:style>
  <w:style w:type="paragraph" w:customStyle="1" w:styleId="RGPuce2">
    <w:name w:val="RG_Puce 2"/>
    <w:basedOn w:val="Standard"/>
    <w:uiPriority w:val="4"/>
    <w:qFormat/>
    <w:rsid w:val="00FC0E88"/>
    <w:pPr>
      <w:numPr>
        <w:ilvl w:val="1"/>
        <w:numId w:val="11"/>
      </w:numPr>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tandardWeb">
    <w:name w:val="Normal (Web)"/>
    <w:basedOn w:val="Standard"/>
    <w:uiPriority w:val="99"/>
    <w:unhideWhenUsed/>
    <w:rsid w:val="00724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7240E5"/>
    <w:rPr>
      <w:b/>
      <w:bCs/>
    </w:rPr>
  </w:style>
  <w:style w:type="character" w:styleId="Hervorhebung">
    <w:name w:val="Emphasis"/>
    <w:basedOn w:val="Absatz-Standardschriftart"/>
    <w:uiPriority w:val="20"/>
    <w:qFormat/>
    <w:rsid w:val="007240E5"/>
    <w:rPr>
      <w:i/>
      <w:iCs/>
    </w:rPr>
  </w:style>
  <w:style w:type="paragraph" w:customStyle="1" w:styleId="Titre21">
    <w:name w:val="Titre 21"/>
    <w:basedOn w:val="Standard"/>
    <w:next w:val="Standard"/>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character" w:customStyle="1" w:styleId="berschrift3Zchn">
    <w:name w:val="Überschrift 3 Zchn"/>
    <w:basedOn w:val="Absatz-Standardschriftart"/>
    <w:link w:val="berschrift3"/>
    <w:uiPriority w:val="9"/>
    <w:rsid w:val="004D42C5"/>
    <w:rPr>
      <w:rFonts w:ascii="Times New Roman" w:eastAsia="Times New Roman" w:hAnsi="Times New Roman" w:cs="Times New Roman"/>
      <w:b/>
      <w:bCs/>
      <w:sz w:val="27"/>
      <w:szCs w:val="27"/>
      <w:lang w:eastAsia="fr-FR"/>
    </w:rPr>
  </w:style>
  <w:style w:type="table" w:customStyle="1" w:styleId="Grilledutableau1">
    <w:name w:val="Grille du tableau1"/>
    <w:basedOn w:val="NormaleTabelle"/>
    <w:next w:val="Tabellenraster"/>
    <w:uiPriority w:val="59"/>
    <w:rsid w:val="004D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Introduction">
    <w:name w:val="RG_Introduction"/>
    <w:basedOn w:val="Standard"/>
    <w:uiPriority w:val="3"/>
    <w:qFormat/>
    <w:rsid w:val="004D42C5"/>
    <w:rPr>
      <w:rFonts w:ascii="Renault Group Semibold" w:hAnsi="Renault Group Semibold"/>
    </w:rPr>
  </w:style>
  <w:style w:type="paragraph" w:styleId="Funotentext">
    <w:name w:val="footnote text"/>
    <w:basedOn w:val="Standard"/>
    <w:link w:val="FunotentextZchn"/>
    <w:uiPriority w:val="99"/>
    <w:semiHidden/>
    <w:rsid w:val="004D42C5"/>
    <w:pPr>
      <w:spacing w:before="0" w:line="240" w:lineRule="auto"/>
    </w:pPr>
    <w:rPr>
      <w:sz w:val="20"/>
    </w:rPr>
  </w:style>
  <w:style w:type="character" w:customStyle="1" w:styleId="FunotentextZchn">
    <w:name w:val="Fußnotentext Zchn"/>
    <w:basedOn w:val="Absatz-Standardschriftart"/>
    <w:link w:val="Funotentext"/>
    <w:uiPriority w:val="99"/>
    <w:semiHidden/>
    <w:rsid w:val="004D42C5"/>
  </w:style>
  <w:style w:type="character" w:styleId="Funotenzeichen">
    <w:name w:val="footnote reference"/>
    <w:basedOn w:val="Absatz-Standardschriftart"/>
    <w:uiPriority w:val="99"/>
    <w:semiHidden/>
    <w:rsid w:val="004D42C5"/>
    <w:rPr>
      <w:vertAlign w:val="superscript"/>
    </w:rPr>
  </w:style>
  <w:style w:type="paragraph" w:customStyle="1" w:styleId="Default">
    <w:name w:val="Default"/>
    <w:rsid w:val="004D42C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rsid w:val="004D42C5"/>
    <w:rPr>
      <w:sz w:val="16"/>
      <w:szCs w:val="16"/>
    </w:rPr>
  </w:style>
  <w:style w:type="paragraph" w:styleId="Kommentartext">
    <w:name w:val="annotation text"/>
    <w:basedOn w:val="Standard"/>
    <w:link w:val="KommentartextZchn"/>
    <w:uiPriority w:val="99"/>
    <w:semiHidden/>
    <w:rsid w:val="004D42C5"/>
    <w:pPr>
      <w:spacing w:line="240" w:lineRule="auto"/>
    </w:pPr>
    <w:rPr>
      <w:sz w:val="20"/>
    </w:rPr>
  </w:style>
  <w:style w:type="character" w:customStyle="1" w:styleId="KommentartextZchn">
    <w:name w:val="Kommentartext Zchn"/>
    <w:basedOn w:val="Absatz-Standardschriftart"/>
    <w:link w:val="Kommentartext"/>
    <w:uiPriority w:val="99"/>
    <w:semiHidden/>
    <w:rsid w:val="004D42C5"/>
  </w:style>
  <w:style w:type="paragraph" w:styleId="Kommentarthema">
    <w:name w:val="annotation subject"/>
    <w:basedOn w:val="Kommentartext"/>
    <w:next w:val="Kommentartext"/>
    <w:link w:val="KommentarthemaZchn"/>
    <w:uiPriority w:val="99"/>
    <w:semiHidden/>
    <w:unhideWhenUsed/>
    <w:rsid w:val="004D42C5"/>
    <w:rPr>
      <w:b/>
      <w:bCs/>
    </w:rPr>
  </w:style>
  <w:style w:type="character" w:customStyle="1" w:styleId="KommentarthemaZchn">
    <w:name w:val="Kommentarthema Zchn"/>
    <w:basedOn w:val="KommentartextZchn"/>
    <w:link w:val="Kommentarthema"/>
    <w:uiPriority w:val="99"/>
    <w:semiHidden/>
    <w:rsid w:val="004D42C5"/>
    <w:rPr>
      <w:b/>
      <w:bCs/>
    </w:rPr>
  </w:style>
  <w:style w:type="paragraph" w:styleId="Sprechblasentext">
    <w:name w:val="Balloon Text"/>
    <w:basedOn w:val="Standard"/>
    <w:link w:val="SprechblasentextZchn"/>
    <w:uiPriority w:val="99"/>
    <w:semiHidden/>
    <w:unhideWhenUsed/>
    <w:rsid w:val="004D42C5"/>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D42C5"/>
    <w:rPr>
      <w:rFonts w:ascii="Segoe UI" w:hAnsi="Segoe UI" w:cs="Segoe UI"/>
      <w:sz w:val="18"/>
      <w:szCs w:val="18"/>
    </w:rPr>
  </w:style>
  <w:style w:type="paragraph" w:styleId="berarbeitung">
    <w:name w:val="Revision"/>
    <w:hidden/>
    <w:uiPriority w:val="99"/>
    <w:semiHidden/>
    <w:rsid w:val="004D42C5"/>
    <w:rPr>
      <w:sz w:val="18"/>
    </w:rPr>
  </w:style>
  <w:style w:type="character" w:customStyle="1" w:styleId="berschrift2Zchn">
    <w:name w:val="Überschrift 2 Zchn"/>
    <w:basedOn w:val="Absatz-Standardschriftart"/>
    <w:link w:val="berschrift2"/>
    <w:uiPriority w:val="9"/>
    <w:semiHidden/>
    <w:rsid w:val="004D42C5"/>
    <w:rPr>
      <w:rFonts w:ascii="Renault Group Light" w:eastAsia="MS Gothic" w:hAnsi="Renault Group Light" w:cs="Times New Roman"/>
      <w:color w:val="30BDB3"/>
      <w:sz w:val="26"/>
      <w:szCs w:val="26"/>
    </w:rPr>
  </w:style>
  <w:style w:type="paragraph" w:styleId="Endnotentext">
    <w:name w:val="endnote text"/>
    <w:basedOn w:val="Standard"/>
    <w:link w:val="EndnotentextZchn"/>
    <w:uiPriority w:val="99"/>
    <w:semiHidden/>
    <w:rsid w:val="004D42C5"/>
    <w:pPr>
      <w:spacing w:before="0" w:line="240" w:lineRule="auto"/>
    </w:pPr>
    <w:rPr>
      <w:sz w:val="20"/>
    </w:rPr>
  </w:style>
  <w:style w:type="character" w:customStyle="1" w:styleId="EndnotentextZchn">
    <w:name w:val="Endnotentext Zchn"/>
    <w:basedOn w:val="Absatz-Standardschriftart"/>
    <w:link w:val="Endnotentext"/>
    <w:uiPriority w:val="99"/>
    <w:semiHidden/>
    <w:rsid w:val="004D42C5"/>
  </w:style>
  <w:style w:type="character" w:styleId="Endnotenzeichen">
    <w:name w:val="endnote reference"/>
    <w:basedOn w:val="Absatz-Standardschriftart"/>
    <w:uiPriority w:val="99"/>
    <w:semiHidden/>
    <w:rsid w:val="004D42C5"/>
    <w:rPr>
      <w:vertAlign w:val="superscript"/>
    </w:rPr>
  </w:style>
  <w:style w:type="character" w:customStyle="1" w:styleId="Titre2Car1">
    <w:name w:val="Titre 2 Car1"/>
    <w:basedOn w:val="Absatz-Standardschriftart"/>
    <w:uiPriority w:val="9"/>
    <w:semiHidden/>
    <w:rsid w:val="004D42C5"/>
    <w:rPr>
      <w:rFonts w:asciiTheme="majorHAnsi" w:eastAsiaTheme="majorEastAsia" w:hAnsiTheme="majorHAnsi" w:cstheme="majorBidi"/>
      <w:color w:val="30BDB3" w:themeColor="accent1" w:themeShade="BF"/>
      <w:sz w:val="26"/>
      <w:szCs w:val="26"/>
    </w:rPr>
  </w:style>
  <w:style w:type="character" w:customStyle="1" w:styleId="text">
    <w:name w:val="text"/>
    <w:basedOn w:val="Absatz-Standardschriftart"/>
    <w:rsid w:val="0024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08166546">
      <w:bodyDiv w:val="1"/>
      <w:marLeft w:val="0"/>
      <w:marRight w:val="0"/>
      <w:marTop w:val="0"/>
      <w:marBottom w:val="0"/>
      <w:divBdr>
        <w:top w:val="none" w:sz="0" w:space="0" w:color="auto"/>
        <w:left w:val="none" w:sz="0" w:space="0" w:color="auto"/>
        <w:bottom w:val="none" w:sz="0" w:space="0" w:color="auto"/>
        <w:right w:val="none" w:sz="0" w:space="0" w:color="auto"/>
      </w:divBdr>
    </w:div>
    <w:div w:id="130297152">
      <w:bodyDiv w:val="1"/>
      <w:marLeft w:val="0"/>
      <w:marRight w:val="0"/>
      <w:marTop w:val="0"/>
      <w:marBottom w:val="0"/>
      <w:divBdr>
        <w:top w:val="none" w:sz="0" w:space="0" w:color="auto"/>
        <w:left w:val="none" w:sz="0" w:space="0" w:color="auto"/>
        <w:bottom w:val="none" w:sz="0" w:space="0" w:color="auto"/>
        <w:right w:val="none" w:sz="0" w:space="0" w:color="auto"/>
      </w:divBdr>
    </w:div>
    <w:div w:id="200166974">
      <w:bodyDiv w:val="1"/>
      <w:marLeft w:val="0"/>
      <w:marRight w:val="0"/>
      <w:marTop w:val="0"/>
      <w:marBottom w:val="0"/>
      <w:divBdr>
        <w:top w:val="none" w:sz="0" w:space="0" w:color="auto"/>
        <w:left w:val="none" w:sz="0" w:space="0" w:color="auto"/>
        <w:bottom w:val="none" w:sz="0" w:space="0" w:color="auto"/>
        <w:right w:val="none" w:sz="0" w:space="0" w:color="auto"/>
      </w:divBdr>
    </w:div>
    <w:div w:id="206644634">
      <w:bodyDiv w:val="1"/>
      <w:marLeft w:val="0"/>
      <w:marRight w:val="0"/>
      <w:marTop w:val="0"/>
      <w:marBottom w:val="0"/>
      <w:divBdr>
        <w:top w:val="none" w:sz="0" w:space="0" w:color="auto"/>
        <w:left w:val="none" w:sz="0" w:space="0" w:color="auto"/>
        <w:bottom w:val="none" w:sz="0" w:space="0" w:color="auto"/>
        <w:right w:val="none" w:sz="0" w:space="0" w:color="auto"/>
      </w:divBdr>
    </w:div>
    <w:div w:id="321355504">
      <w:bodyDiv w:val="1"/>
      <w:marLeft w:val="0"/>
      <w:marRight w:val="0"/>
      <w:marTop w:val="0"/>
      <w:marBottom w:val="0"/>
      <w:divBdr>
        <w:top w:val="none" w:sz="0" w:space="0" w:color="auto"/>
        <w:left w:val="none" w:sz="0" w:space="0" w:color="auto"/>
        <w:bottom w:val="none" w:sz="0" w:space="0" w:color="auto"/>
        <w:right w:val="none" w:sz="0" w:space="0" w:color="auto"/>
      </w:divBdr>
    </w:div>
    <w:div w:id="649018848">
      <w:bodyDiv w:val="1"/>
      <w:marLeft w:val="0"/>
      <w:marRight w:val="0"/>
      <w:marTop w:val="0"/>
      <w:marBottom w:val="0"/>
      <w:divBdr>
        <w:top w:val="none" w:sz="0" w:space="0" w:color="auto"/>
        <w:left w:val="none" w:sz="0" w:space="0" w:color="auto"/>
        <w:bottom w:val="none" w:sz="0" w:space="0" w:color="auto"/>
        <w:right w:val="none" w:sz="0" w:space="0" w:color="auto"/>
      </w:divBdr>
    </w:div>
    <w:div w:id="768352948">
      <w:bodyDiv w:val="1"/>
      <w:marLeft w:val="0"/>
      <w:marRight w:val="0"/>
      <w:marTop w:val="0"/>
      <w:marBottom w:val="0"/>
      <w:divBdr>
        <w:top w:val="none" w:sz="0" w:space="0" w:color="auto"/>
        <w:left w:val="none" w:sz="0" w:space="0" w:color="auto"/>
        <w:bottom w:val="none" w:sz="0" w:space="0" w:color="auto"/>
        <w:right w:val="none" w:sz="0" w:space="0" w:color="auto"/>
      </w:divBdr>
    </w:div>
    <w:div w:id="894464240">
      <w:bodyDiv w:val="1"/>
      <w:marLeft w:val="0"/>
      <w:marRight w:val="0"/>
      <w:marTop w:val="0"/>
      <w:marBottom w:val="0"/>
      <w:divBdr>
        <w:top w:val="none" w:sz="0" w:space="0" w:color="auto"/>
        <w:left w:val="none" w:sz="0" w:space="0" w:color="auto"/>
        <w:bottom w:val="none" w:sz="0" w:space="0" w:color="auto"/>
        <w:right w:val="none" w:sz="0" w:space="0" w:color="auto"/>
      </w:divBdr>
    </w:div>
    <w:div w:id="91128050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15110977">
      <w:bodyDiv w:val="1"/>
      <w:marLeft w:val="0"/>
      <w:marRight w:val="0"/>
      <w:marTop w:val="0"/>
      <w:marBottom w:val="0"/>
      <w:divBdr>
        <w:top w:val="none" w:sz="0" w:space="0" w:color="auto"/>
        <w:left w:val="none" w:sz="0" w:space="0" w:color="auto"/>
        <w:bottom w:val="none" w:sz="0" w:space="0" w:color="auto"/>
        <w:right w:val="none" w:sz="0" w:space="0" w:color="auto"/>
      </w:divBdr>
    </w:div>
    <w:div w:id="1039403745">
      <w:bodyDiv w:val="1"/>
      <w:marLeft w:val="0"/>
      <w:marRight w:val="0"/>
      <w:marTop w:val="0"/>
      <w:marBottom w:val="0"/>
      <w:divBdr>
        <w:top w:val="none" w:sz="0" w:space="0" w:color="auto"/>
        <w:left w:val="none" w:sz="0" w:space="0" w:color="auto"/>
        <w:bottom w:val="none" w:sz="0" w:space="0" w:color="auto"/>
        <w:right w:val="none" w:sz="0" w:space="0" w:color="auto"/>
      </w:divBdr>
    </w:div>
    <w:div w:id="1175071392">
      <w:bodyDiv w:val="1"/>
      <w:marLeft w:val="0"/>
      <w:marRight w:val="0"/>
      <w:marTop w:val="0"/>
      <w:marBottom w:val="0"/>
      <w:divBdr>
        <w:top w:val="none" w:sz="0" w:space="0" w:color="auto"/>
        <w:left w:val="none" w:sz="0" w:space="0" w:color="auto"/>
        <w:bottom w:val="none" w:sz="0" w:space="0" w:color="auto"/>
        <w:right w:val="none" w:sz="0" w:space="0" w:color="auto"/>
      </w:divBdr>
    </w:div>
    <w:div w:id="1526941319">
      <w:bodyDiv w:val="1"/>
      <w:marLeft w:val="0"/>
      <w:marRight w:val="0"/>
      <w:marTop w:val="0"/>
      <w:marBottom w:val="0"/>
      <w:divBdr>
        <w:top w:val="none" w:sz="0" w:space="0" w:color="auto"/>
        <w:left w:val="none" w:sz="0" w:space="0" w:color="auto"/>
        <w:bottom w:val="none" w:sz="0" w:space="0" w:color="auto"/>
        <w:right w:val="none" w:sz="0" w:space="0" w:color="auto"/>
      </w:divBdr>
    </w:div>
    <w:div w:id="1532574529">
      <w:bodyDiv w:val="1"/>
      <w:marLeft w:val="0"/>
      <w:marRight w:val="0"/>
      <w:marTop w:val="0"/>
      <w:marBottom w:val="0"/>
      <w:divBdr>
        <w:top w:val="none" w:sz="0" w:space="0" w:color="auto"/>
        <w:left w:val="none" w:sz="0" w:space="0" w:color="auto"/>
        <w:bottom w:val="none" w:sz="0" w:space="0" w:color="auto"/>
        <w:right w:val="none" w:sz="0" w:space="0" w:color="auto"/>
      </w:divBdr>
    </w:div>
    <w:div w:id="1597597463">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eric.texier@renaul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hilippine.de-schonen@renaul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yperlink" Target="mailto:karin.kirchner@renaul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trid.de-latude@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3" ma:contentTypeDescription="Ein neues Dokument erstellen." ma:contentTypeScope="" ma:versionID="74dacbdac9458b95f496592598b19c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3c9444155d65dad7cca4d66b247bb1"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F70B3-C0C5-49A1-B42B-E555FD25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9FED7-433E-41B7-9C4C-41368A0F2FD5}">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DB59ED-7B81-4F20-83BD-247A824FF851}">
  <ds:schemaRefs>
    <ds:schemaRef ds:uri="http://schemas.openxmlformats.org/officeDocument/2006/bibliography"/>
  </ds:schemaRefs>
</ds:datastoreItem>
</file>

<file path=customXml/itemProps4.xml><?xml version="1.0" encoding="utf-8"?>
<ds:datastoreItem xmlns:ds="http://schemas.openxmlformats.org/officeDocument/2006/customXml" ds:itemID="{E7746EB8-FCCB-4406-A08A-A9497C8DB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13689</Characters>
  <Application>Microsoft Office Word</Application>
  <DocSecurity>0</DocSecurity>
  <Lines>114</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Press release</vt:lpstr>
      <vt:lpstr>Communiqué de presse</vt:lpstr>
      <vt:lpstr>Communiqué de presse</vt:lpstr>
    </vt:vector>
  </TitlesOfParts>
  <Company>Renault Group</Company>
  <LinksUpToDate>false</LinksUpToDate>
  <CharactersWithSpaces>15830</CharactersWithSpaces>
  <SharedDoc>false</SharedDoc>
  <HLinks>
    <vt:vector size="24" baseType="variant">
      <vt:variant>
        <vt:i4>4194409</vt:i4>
      </vt:variant>
      <vt:variant>
        <vt:i4>9</vt:i4>
      </vt:variant>
      <vt:variant>
        <vt:i4>0</vt:i4>
      </vt:variant>
      <vt:variant>
        <vt:i4>5</vt:i4>
      </vt:variant>
      <vt:variant>
        <vt:lpwstr>mailto:astrid.de-latude@renault.com</vt:lpwstr>
      </vt:variant>
      <vt:variant>
        <vt:lpwstr/>
      </vt:variant>
      <vt:variant>
        <vt:i4>3014733</vt:i4>
      </vt:variant>
      <vt:variant>
        <vt:i4>6</vt:i4>
      </vt:variant>
      <vt:variant>
        <vt:i4>0</vt:i4>
      </vt:variant>
      <vt:variant>
        <vt:i4>5</vt:i4>
      </vt:variant>
      <vt:variant>
        <vt:lpwstr>mailto:frederic.texier@renault.com</vt:lpwstr>
      </vt:variant>
      <vt:variant>
        <vt:lpwstr/>
      </vt:variant>
      <vt:variant>
        <vt:i4>5177467</vt:i4>
      </vt:variant>
      <vt:variant>
        <vt:i4>3</vt:i4>
      </vt:variant>
      <vt:variant>
        <vt:i4>0</vt:i4>
      </vt:variant>
      <vt:variant>
        <vt:i4>5</vt:i4>
      </vt:variant>
      <vt:variant>
        <vt:lpwstr>mailto:philippine.de-schonen@renault.com</vt:lpwstr>
      </vt:variant>
      <vt:variant>
        <vt:lpwstr/>
      </vt:variant>
      <vt:variant>
        <vt:i4>1835098</vt:i4>
      </vt:variant>
      <vt:variant>
        <vt:i4>0</vt:i4>
      </vt:variant>
      <vt:variant>
        <vt:i4>0</vt:i4>
      </vt:variant>
      <vt:variant>
        <vt:i4>5</vt:i4>
      </vt:variant>
      <vt:variant>
        <vt:lpwstr>https://www.renaultgroup.com/en/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office2</dc:creator>
  <cp:keywords>, docId:3EFB09FFE459B0C36E2274D2F15F1C0D</cp:keywords>
  <dc:description/>
  <cp:lastModifiedBy>BALLWEBER Tizian</cp:lastModifiedBy>
  <cp:revision>11</cp:revision>
  <cp:lastPrinted>2022-04-22T07:04:00Z</cp:lastPrinted>
  <dcterms:created xsi:type="dcterms:W3CDTF">2022-04-22T07:02:00Z</dcterms:created>
  <dcterms:modified xsi:type="dcterms:W3CDTF">2022-04-22T09:10:00Z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2022-04-22T08:36:07Z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f37eed77-ff99-45d0-9f61-8b77217bdfa3</vt:lpwstr>
  </property>
  <property fmtid="{D5CDD505-2E9C-101B-9397-08002B2CF9AE}" pid="25" name="MSIP_Label_fd1c0902-ed92-4fed-896d-2e7725de02d4_ContentBits">
    <vt:lpwstr>2</vt:lpwstr>
  </property>
</Properties>
</file>